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E7C3" w14:textId="77777777" w:rsidR="005F7C7F" w:rsidRPr="005F7C7F" w:rsidRDefault="005F7C7F" w:rsidP="005F7C7F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5F7C7F">
        <w:rPr>
          <w:rFonts w:cs="Arial"/>
          <w:b/>
          <w:sz w:val="28"/>
          <w:szCs w:val="22"/>
        </w:rPr>
        <w:t>P5: Level Standards</w:t>
      </w:r>
    </w:p>
    <w:p w14:paraId="2DA90147" w14:textId="77777777" w:rsidR="005F7C7F" w:rsidRPr="005F7C7F" w:rsidRDefault="005F7C7F" w:rsidP="005F7C7F">
      <w:pPr>
        <w:spacing w:line="276" w:lineRule="auto"/>
        <w:rPr>
          <w:rFonts w:cs="Arial"/>
          <w:sz w:val="22"/>
          <w:szCs w:val="22"/>
        </w:rPr>
      </w:pPr>
    </w:p>
    <w:p w14:paraId="47A2C7AD" w14:textId="77777777" w:rsidR="005F7C7F" w:rsidRPr="005F7C7F" w:rsidRDefault="005F7C7F" w:rsidP="005F7C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F7C7F">
        <w:rPr>
          <w:rFonts w:cs="Arial"/>
          <w:b/>
          <w:sz w:val="24"/>
          <w:szCs w:val="22"/>
        </w:rPr>
        <w:t>GENERAL ROLE</w:t>
      </w:r>
    </w:p>
    <w:p w14:paraId="4AD30B3E" w14:textId="77777777" w:rsidR="005F7C7F" w:rsidRPr="005F7C7F" w:rsidRDefault="005F7C7F" w:rsidP="005F7C7F">
      <w:pPr>
        <w:spacing w:after="200" w:line="276" w:lineRule="auto"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  <w:bookmarkStart w:id="2" w:name="_GoBack"/>
      <w:bookmarkEnd w:id="2"/>
    </w:p>
    <w:p w14:paraId="1D6329BC" w14:textId="77777777" w:rsidR="005F7C7F" w:rsidRPr="005F7C7F" w:rsidRDefault="005F7C7F" w:rsidP="005F7C7F">
      <w:pPr>
        <w:spacing w:after="200" w:line="276" w:lineRule="auto"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Incumbents:</w:t>
      </w:r>
    </w:p>
    <w:p w14:paraId="0044CD78" w14:textId="77777777" w:rsidR="005F7C7F" w:rsidRPr="005F7C7F" w:rsidRDefault="005F7C7F" w:rsidP="005F7C7F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6A8B2299" w14:textId="77777777" w:rsidR="005F7C7F" w:rsidRPr="005F7C7F" w:rsidRDefault="005F7C7F" w:rsidP="005F7C7F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76BB35A6" w14:textId="77777777" w:rsidR="005F7C7F" w:rsidRPr="005F7C7F" w:rsidRDefault="005F7C7F" w:rsidP="005F7C7F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07062961" w14:textId="77777777" w:rsidR="005F7C7F" w:rsidRPr="005F7C7F" w:rsidRDefault="005F7C7F" w:rsidP="005F7C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F7C7F">
        <w:rPr>
          <w:rFonts w:cs="Arial"/>
          <w:b/>
          <w:sz w:val="24"/>
          <w:szCs w:val="22"/>
        </w:rPr>
        <w:t>INDEPENDENCE AND DECISION-MAKING</w:t>
      </w:r>
    </w:p>
    <w:p w14:paraId="126E1C53" w14:textId="77777777" w:rsidR="005F7C7F" w:rsidRPr="005F7C7F" w:rsidRDefault="005F7C7F" w:rsidP="005F7C7F">
      <w:pPr>
        <w:spacing w:line="276" w:lineRule="auto"/>
        <w:ind w:left="720"/>
        <w:rPr>
          <w:rFonts w:cs="Arial"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Supervision Receive</w:t>
      </w:r>
      <w:r w:rsidRPr="005F7C7F">
        <w:rPr>
          <w:rFonts w:cs="Arial"/>
          <w:sz w:val="22"/>
          <w:szCs w:val="22"/>
        </w:rPr>
        <w:t>d</w:t>
      </w:r>
    </w:p>
    <w:p w14:paraId="25414477" w14:textId="77777777" w:rsidR="005F7C7F" w:rsidRPr="005F7C7F" w:rsidRDefault="005F7C7F" w:rsidP="005F7C7F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Works under direction.</w:t>
      </w:r>
    </w:p>
    <w:p w14:paraId="53EC586E" w14:textId="77777777" w:rsidR="005F7C7F" w:rsidRDefault="005F7C7F" w:rsidP="005F7C7F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2D094D94" w14:textId="77777777" w:rsidR="00E1485A" w:rsidRPr="005F7C7F" w:rsidRDefault="00E1485A" w:rsidP="00E1485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8F1E388" w14:textId="77777777" w:rsidR="005F7C7F" w:rsidRPr="005F7C7F" w:rsidRDefault="005F7C7F" w:rsidP="005F7C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Context of Decisions</w:t>
      </w:r>
    </w:p>
    <w:p w14:paraId="52B2BE28" w14:textId="77777777" w:rsidR="005F7C7F" w:rsidRPr="00E1485A" w:rsidRDefault="005F7C7F" w:rsidP="005F7C7F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5F7C7F">
        <w:rPr>
          <w:rFonts w:cs="Arial"/>
          <w:sz w:val="22"/>
          <w:szCs w:val="22"/>
        </w:rPr>
        <w:t>Decisions are driven by office/departmental policy and procedures.</w:t>
      </w:r>
    </w:p>
    <w:p w14:paraId="2E35F7FF" w14:textId="77777777" w:rsidR="00E1485A" w:rsidRPr="005F7C7F" w:rsidRDefault="00E1485A" w:rsidP="00E1485A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777C7F4" w14:textId="77777777" w:rsidR="005F7C7F" w:rsidRPr="005F7C7F" w:rsidRDefault="005F7C7F" w:rsidP="005F7C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Job Controls</w:t>
      </w:r>
    </w:p>
    <w:p w14:paraId="793EBF11" w14:textId="77777777" w:rsidR="005F7C7F" w:rsidRPr="005F7C7F" w:rsidRDefault="005F7C7F" w:rsidP="00E1485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Free to plan and carry out all phases of work assignments.</w:t>
      </w:r>
    </w:p>
    <w:p w14:paraId="7734F0CC" w14:textId="77777777" w:rsidR="005F7C7F" w:rsidRPr="00E1485A" w:rsidRDefault="005F7C7F" w:rsidP="00E1485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Has the latitude to make daily operational decisions.</w:t>
      </w:r>
    </w:p>
    <w:p w14:paraId="4506CB9A" w14:textId="77777777" w:rsidR="005F7C7F" w:rsidRPr="005F7C7F" w:rsidRDefault="005F7C7F" w:rsidP="005F7C7F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0BDB8C6" w14:textId="77777777" w:rsidR="005F7C7F" w:rsidRPr="005F7C7F" w:rsidRDefault="005F7C7F" w:rsidP="005F7C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F7C7F">
        <w:rPr>
          <w:rFonts w:cs="Arial"/>
          <w:b/>
          <w:sz w:val="24"/>
          <w:szCs w:val="22"/>
        </w:rPr>
        <w:t>COMPLEXITY AND PROBLEM SOLVING</w:t>
      </w:r>
    </w:p>
    <w:p w14:paraId="796657FF" w14:textId="77777777" w:rsidR="005F7C7F" w:rsidRPr="005F7C7F" w:rsidRDefault="005F7C7F" w:rsidP="005F7C7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Range of issues</w:t>
      </w:r>
    </w:p>
    <w:p w14:paraId="664ACA32" w14:textId="77777777" w:rsidR="005F7C7F" w:rsidRPr="00E1485A" w:rsidRDefault="005F7C7F" w:rsidP="005F7C7F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5F7C7F">
        <w:rPr>
          <w:rFonts w:cs="Arial"/>
          <w:sz w:val="22"/>
          <w:szCs w:val="22"/>
        </w:rPr>
        <w:t>Issues tend to be operational in nature.</w:t>
      </w:r>
    </w:p>
    <w:p w14:paraId="5E3BC40B" w14:textId="77777777" w:rsidR="00E1485A" w:rsidRPr="005F7C7F" w:rsidRDefault="00E1485A" w:rsidP="00E1485A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5DCB8B5" w14:textId="77777777" w:rsidR="005F7C7F" w:rsidRPr="005F7C7F" w:rsidRDefault="005F7C7F" w:rsidP="005F7C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Course of Resolution</w:t>
      </w:r>
    </w:p>
    <w:p w14:paraId="6FA6C201" w14:textId="77777777" w:rsidR="005F7C7F" w:rsidRPr="005F7C7F" w:rsidRDefault="005F7C7F" w:rsidP="005F7C7F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5F7C7F">
        <w:rPr>
          <w:rFonts w:cs="Arial"/>
          <w:sz w:val="22"/>
          <w:szCs w:val="22"/>
        </w:rPr>
        <w:t xml:space="preserve">Identifies issues and gathers facts. </w:t>
      </w:r>
    </w:p>
    <w:p w14:paraId="6B6DA0CA" w14:textId="77777777" w:rsidR="005F7C7F" w:rsidRPr="00E1485A" w:rsidRDefault="005F7C7F" w:rsidP="005F7C7F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5F7C7F">
        <w:rPr>
          <w:rFonts w:cs="Arial"/>
          <w:sz w:val="22"/>
          <w:szCs w:val="22"/>
        </w:rPr>
        <w:t>Must understand the smallest details of an assigned area.</w:t>
      </w:r>
    </w:p>
    <w:p w14:paraId="67BE4C1B" w14:textId="77777777" w:rsidR="00E1485A" w:rsidRDefault="00E1485A" w:rsidP="00E1485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A7AA937" w14:textId="77777777" w:rsidR="00E1485A" w:rsidRPr="005F7C7F" w:rsidRDefault="00E1485A" w:rsidP="00E1485A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EBA4AB2" w14:textId="77777777" w:rsidR="005F7C7F" w:rsidRPr="005F7C7F" w:rsidRDefault="005F7C7F" w:rsidP="005F7C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Measure of Creativity</w:t>
      </w:r>
    </w:p>
    <w:p w14:paraId="6BD04C7A" w14:textId="77777777" w:rsidR="005F7C7F" w:rsidRPr="00E1485A" w:rsidRDefault="005F7C7F" w:rsidP="00E1485A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3112DEE7" w14:textId="77777777" w:rsidR="005F7C7F" w:rsidRPr="005F7C7F" w:rsidRDefault="005F7C7F" w:rsidP="005F7C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F7C7F">
        <w:rPr>
          <w:rFonts w:cs="Arial"/>
          <w:b/>
          <w:sz w:val="24"/>
          <w:szCs w:val="22"/>
        </w:rPr>
        <w:t>COMMUNICATION EXPECTATIONS</w:t>
      </w:r>
    </w:p>
    <w:p w14:paraId="3BFE240D" w14:textId="77777777" w:rsidR="005F7C7F" w:rsidRPr="005F7C7F" w:rsidRDefault="005F7C7F" w:rsidP="005F7C7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5F7C7F">
        <w:rPr>
          <w:rFonts w:cs="Arial"/>
          <w:i/>
          <w:sz w:val="22"/>
          <w:szCs w:val="22"/>
        </w:rPr>
        <w:sym w:font="Wingdings" w:char="F0E0"/>
      </w:r>
      <w:r w:rsidRPr="005F7C7F">
        <w:rPr>
          <w:rFonts w:cs="Arial"/>
          <w:i/>
          <w:sz w:val="22"/>
          <w:szCs w:val="22"/>
        </w:rPr>
        <w:t xml:space="preserve"> Manner of Delivery and Content</w:t>
      </w:r>
    </w:p>
    <w:p w14:paraId="1FB9E24A" w14:textId="77777777" w:rsidR="005F7C7F" w:rsidRPr="005F7C7F" w:rsidRDefault="005F7C7F" w:rsidP="005F7C7F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5F7C7F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92AE303" w14:textId="77777777" w:rsidR="005F7C7F" w:rsidRPr="005F7C7F" w:rsidRDefault="005F7C7F" w:rsidP="005F7C7F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D53B16C" w14:textId="77777777" w:rsidR="005F7C7F" w:rsidRPr="005F7C7F" w:rsidRDefault="005F7C7F" w:rsidP="005F7C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F7C7F">
        <w:rPr>
          <w:rFonts w:cs="Arial"/>
          <w:b/>
          <w:sz w:val="24"/>
          <w:szCs w:val="22"/>
        </w:rPr>
        <w:t>SCOPE AND MEASURABLE EFFECT</w:t>
      </w:r>
    </w:p>
    <w:p w14:paraId="4ECA5313" w14:textId="77777777" w:rsidR="005F7C7F" w:rsidRPr="005F7C7F" w:rsidRDefault="005F7C7F" w:rsidP="005F7C7F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42E1EDBF" w14:textId="77777777" w:rsidR="005F7C7F" w:rsidRPr="005F7C7F" w:rsidRDefault="005F7C7F" w:rsidP="005F7C7F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706A9D2A" w14:textId="77777777" w:rsidR="005F7C7F" w:rsidRPr="005F7C7F" w:rsidRDefault="005F7C7F" w:rsidP="005F7C7F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5F7C7F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451C39DC" w14:textId="77777777" w:rsidR="00A145E5" w:rsidRDefault="00A145E5" w:rsidP="00A145E5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66E49273" w14:textId="77777777" w:rsidR="00A145E5" w:rsidRPr="00F816B1" w:rsidRDefault="00A145E5" w:rsidP="00A145E5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69D32456" w14:textId="77777777" w:rsidR="00A145E5" w:rsidRDefault="00A145E5" w:rsidP="00A145E5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425D9EC" w14:textId="77777777" w:rsidR="00504F55" w:rsidRPr="00A145E5" w:rsidRDefault="00504F55" w:rsidP="00A145E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145E5">
        <w:rPr>
          <w:rFonts w:asciiTheme="majorHAnsi" w:hAnsiTheme="majorHAnsi" w:cstheme="majorHAnsi"/>
          <w:b/>
          <w:color w:val="002060"/>
        </w:rPr>
        <w:t>GENERAL SUMMARY</w:t>
      </w:r>
    </w:p>
    <w:p w14:paraId="1B26150B" w14:textId="77777777" w:rsidR="00504F55" w:rsidRPr="00D66D03" w:rsidRDefault="00AE3C6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Guides and p</w:t>
      </w:r>
      <w:r w:rsidRPr="00867586">
        <w:rPr>
          <w:rFonts w:asciiTheme="majorHAnsi" w:hAnsiTheme="majorHAnsi" w:cstheme="majorHAnsi"/>
          <w:sz w:val="22"/>
          <w:szCs w:val="22"/>
        </w:rPr>
        <w:t>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7586">
        <w:rPr>
          <w:rFonts w:asciiTheme="majorHAnsi" w:hAnsiTheme="majorHAnsi" w:cstheme="majorHAnsi"/>
          <w:sz w:val="22"/>
          <w:szCs w:val="22"/>
        </w:rPr>
        <w:t xml:space="preserve"> departments and faculty with comprehensive instructional design services for programs and courses in all delivery modes.</w:t>
      </w:r>
      <w:r w:rsidR="003449E5">
        <w:rPr>
          <w:rFonts w:asciiTheme="majorHAnsi" w:hAnsiTheme="majorHAnsi" w:cstheme="majorHAnsi"/>
          <w:sz w:val="22"/>
          <w:szCs w:val="22"/>
        </w:rPr>
        <w:t xml:space="preserve"> Leads efforts to a</w:t>
      </w:r>
      <w:r w:rsidR="006A06D3" w:rsidRPr="006A06D3">
        <w:rPr>
          <w:rFonts w:asciiTheme="majorHAnsi" w:hAnsiTheme="majorHAnsi" w:cstheme="majorHAnsi"/>
          <w:sz w:val="22"/>
          <w:szCs w:val="22"/>
        </w:rPr>
        <w:t xml:space="preserve">nalyze needs, develop, evaluate, and revise </w:t>
      </w:r>
      <w:r>
        <w:rPr>
          <w:rFonts w:asciiTheme="majorHAnsi" w:hAnsiTheme="majorHAnsi" w:cstheme="majorHAnsi"/>
          <w:sz w:val="22"/>
          <w:szCs w:val="22"/>
        </w:rPr>
        <w:t>instructional</w:t>
      </w:r>
      <w:r w:rsidR="006A06D3" w:rsidRPr="006A06D3">
        <w:rPr>
          <w:rFonts w:asciiTheme="majorHAnsi" w:hAnsiTheme="majorHAnsi" w:cstheme="majorHAnsi"/>
          <w:sz w:val="22"/>
          <w:szCs w:val="22"/>
        </w:rPr>
        <w:t xml:space="preserve"> </w:t>
      </w:r>
      <w:r w:rsidR="003449E5">
        <w:rPr>
          <w:rFonts w:asciiTheme="majorHAnsi" w:hAnsiTheme="majorHAnsi" w:cstheme="majorHAnsi"/>
          <w:sz w:val="22"/>
          <w:szCs w:val="22"/>
        </w:rPr>
        <w:t xml:space="preserve">design plans, including </w:t>
      </w:r>
      <w:r w:rsidR="006A06D3" w:rsidRPr="006A06D3">
        <w:rPr>
          <w:rFonts w:asciiTheme="majorHAnsi" w:hAnsiTheme="majorHAnsi" w:cstheme="majorHAnsi"/>
          <w:sz w:val="22"/>
          <w:szCs w:val="22"/>
        </w:rPr>
        <w:t xml:space="preserve">documents, processes, communications, and resources used across eCampus for faculty and staff. 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020676" w14:textId="77777777" w:rsidR="00504F55" w:rsidRPr="00A145E5" w:rsidRDefault="00504F55" w:rsidP="00A145E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145E5">
        <w:rPr>
          <w:rFonts w:asciiTheme="majorHAnsi" w:hAnsiTheme="majorHAnsi" w:cstheme="majorHAnsi"/>
          <w:b/>
          <w:color w:val="002060"/>
        </w:rPr>
        <w:t>R</w:t>
      </w:r>
      <w:r w:rsidR="00D506BF">
        <w:rPr>
          <w:rFonts w:asciiTheme="majorHAnsi" w:hAnsiTheme="majorHAnsi" w:cstheme="majorHAnsi"/>
          <w:b/>
          <w:color w:val="002060"/>
        </w:rPr>
        <w:t>EPORTING RELATIONSHIPS AND TEAM</w:t>
      </w:r>
      <w:r w:rsidRPr="00A145E5">
        <w:rPr>
          <w:rFonts w:asciiTheme="majorHAnsi" w:hAnsiTheme="majorHAnsi" w:cstheme="majorHAnsi"/>
          <w:b/>
          <w:color w:val="002060"/>
        </w:rPr>
        <w:t>WORK</w:t>
      </w:r>
    </w:p>
    <w:p w14:paraId="2BBEB0F0" w14:textId="77777777" w:rsidR="00504F55" w:rsidRPr="009B1370" w:rsidRDefault="009B1370" w:rsidP="009B1370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B1370">
        <w:rPr>
          <w:rFonts w:asciiTheme="majorHAnsi" w:hAnsiTheme="majorHAnsi" w:cstheme="majorHAnsi"/>
          <w:sz w:val="22"/>
          <w:szCs w:val="22"/>
        </w:rPr>
        <w:t>Works under direction of a supervisor or manager. Serves a lead worker to employees who perform similar functions.</w:t>
      </w:r>
    </w:p>
    <w:p w14:paraId="4D96B962" w14:textId="77777777" w:rsidR="00504F55" w:rsidRPr="00A145E5" w:rsidRDefault="00504F55" w:rsidP="00A145E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145E5">
        <w:rPr>
          <w:rFonts w:asciiTheme="majorHAnsi" w:hAnsiTheme="majorHAnsi" w:cstheme="majorHAnsi"/>
          <w:b/>
          <w:color w:val="002060"/>
        </w:rPr>
        <w:t>ESSENTIAL DUTIES</w:t>
      </w:r>
      <w:r w:rsidR="00D506BF">
        <w:rPr>
          <w:rFonts w:asciiTheme="majorHAnsi" w:hAnsiTheme="majorHAnsi" w:cstheme="majorHAnsi"/>
          <w:b/>
          <w:color w:val="002060"/>
        </w:rPr>
        <w:t xml:space="preserve"> AND</w:t>
      </w:r>
      <w:r w:rsidRPr="00A145E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A52C86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9B1370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4DF1586" w14:textId="77777777" w:rsidR="00636BE1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7586">
        <w:rPr>
          <w:rFonts w:asciiTheme="majorHAnsi" w:hAnsiTheme="majorHAnsi" w:cstheme="majorHAnsi"/>
          <w:sz w:val="22"/>
          <w:szCs w:val="22"/>
        </w:rPr>
        <w:t>Collaborate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7586">
        <w:rPr>
          <w:rFonts w:asciiTheme="majorHAnsi" w:hAnsiTheme="majorHAnsi" w:cstheme="majorHAnsi"/>
          <w:sz w:val="22"/>
          <w:szCs w:val="22"/>
        </w:rPr>
        <w:t xml:space="preserve"> with faculty to design online, hybrid, and flipped courses by performing a needs analysis and creating a</w:t>
      </w:r>
      <w:r w:rsidR="0014682C">
        <w:rPr>
          <w:rFonts w:asciiTheme="majorHAnsi" w:hAnsiTheme="majorHAnsi" w:cstheme="majorHAnsi"/>
          <w:sz w:val="22"/>
          <w:szCs w:val="22"/>
        </w:rPr>
        <w:t xml:space="preserve">n instructional </w:t>
      </w:r>
      <w:r w:rsidRPr="00867586">
        <w:rPr>
          <w:rFonts w:asciiTheme="majorHAnsi" w:hAnsiTheme="majorHAnsi" w:cstheme="majorHAnsi"/>
          <w:sz w:val="22"/>
          <w:szCs w:val="22"/>
        </w:rPr>
        <w:t>design plan</w:t>
      </w:r>
      <w:r w:rsidR="0014682C">
        <w:rPr>
          <w:rFonts w:asciiTheme="majorHAnsi" w:hAnsiTheme="majorHAnsi" w:cstheme="majorHAnsi"/>
          <w:sz w:val="22"/>
          <w:szCs w:val="22"/>
        </w:rPr>
        <w:t>; ensures plans align with faculty vision for the course and course goals/objectives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D49840E" w14:textId="77777777" w:rsidR="00636BE1" w:rsidRDefault="003449E5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636BE1" w:rsidRPr="00867586">
        <w:rPr>
          <w:rFonts w:asciiTheme="majorHAnsi" w:hAnsiTheme="majorHAnsi" w:cstheme="majorHAnsi"/>
          <w:sz w:val="22"/>
          <w:szCs w:val="22"/>
        </w:rPr>
        <w:t>dit</w:t>
      </w:r>
      <w:r w:rsidR="00636BE1">
        <w:rPr>
          <w:rFonts w:asciiTheme="majorHAnsi" w:hAnsiTheme="majorHAnsi" w:cstheme="majorHAnsi"/>
          <w:sz w:val="22"/>
          <w:szCs w:val="22"/>
        </w:rPr>
        <w:t>s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 and revise</w:t>
      </w:r>
      <w:r w:rsidR="00636BE1">
        <w:rPr>
          <w:rFonts w:asciiTheme="majorHAnsi" w:hAnsiTheme="majorHAnsi" w:cstheme="majorHAnsi"/>
          <w:sz w:val="22"/>
          <w:szCs w:val="22"/>
        </w:rPr>
        <w:t>s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 activities, materials, assignments, modules, and other content as needed to support </w:t>
      </w:r>
      <w:r>
        <w:rPr>
          <w:rFonts w:asciiTheme="majorHAnsi" w:hAnsiTheme="majorHAnsi" w:cstheme="majorHAnsi"/>
          <w:sz w:val="22"/>
          <w:szCs w:val="22"/>
        </w:rPr>
        <w:t>improvement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 of existing online, hybrid/blended, and in person courses</w:t>
      </w:r>
      <w:r w:rsidR="00636BE1">
        <w:rPr>
          <w:rFonts w:asciiTheme="majorHAnsi" w:hAnsiTheme="majorHAnsi" w:cstheme="majorHAnsi"/>
          <w:sz w:val="22"/>
          <w:szCs w:val="22"/>
        </w:rPr>
        <w:t>.</w:t>
      </w:r>
    </w:p>
    <w:p w14:paraId="485BE6C6" w14:textId="77777777" w:rsidR="00636BE1" w:rsidRPr="00867586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Utilizes</w:t>
      </w:r>
      <w:r w:rsidRPr="00867586">
        <w:rPr>
          <w:rFonts w:asciiTheme="majorHAnsi" w:hAnsiTheme="majorHAnsi" w:cstheme="majorHAnsi"/>
          <w:sz w:val="22"/>
          <w:szCs w:val="22"/>
        </w:rPr>
        <w:t xml:space="preserve"> course design plan to develop course</w:t>
      </w:r>
      <w:r w:rsidR="003449E5">
        <w:rPr>
          <w:rFonts w:asciiTheme="majorHAnsi" w:hAnsiTheme="majorHAnsi" w:cstheme="majorHAnsi"/>
          <w:sz w:val="22"/>
          <w:szCs w:val="22"/>
        </w:rPr>
        <w:t xml:space="preserve"> contents</w:t>
      </w:r>
      <w:r w:rsidRPr="00867586">
        <w:rPr>
          <w:rFonts w:asciiTheme="majorHAnsi" w:hAnsiTheme="majorHAnsi" w:cstheme="majorHAnsi"/>
          <w:sz w:val="22"/>
          <w:szCs w:val="22"/>
        </w:rPr>
        <w:t>, including learning modules, activities, assessments, and instructional materials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B12408" w14:textId="77777777" w:rsidR="00636BE1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7586">
        <w:rPr>
          <w:rFonts w:asciiTheme="majorHAnsi" w:hAnsiTheme="majorHAnsi" w:cstheme="majorHAnsi"/>
          <w:sz w:val="22"/>
          <w:szCs w:val="22"/>
        </w:rPr>
        <w:t>Serves as project lead</w:t>
      </w:r>
      <w:r w:rsidR="001A4B6F">
        <w:rPr>
          <w:rFonts w:asciiTheme="majorHAnsi" w:hAnsiTheme="majorHAnsi" w:cstheme="majorHAnsi"/>
          <w:sz w:val="22"/>
          <w:szCs w:val="22"/>
        </w:rPr>
        <w:t>; oversees unit-wide efforts in</w:t>
      </w:r>
      <w:r w:rsidRPr="00867586">
        <w:rPr>
          <w:rFonts w:asciiTheme="majorHAnsi" w:hAnsiTheme="majorHAnsi" w:cstheme="majorHAnsi"/>
          <w:sz w:val="22"/>
          <w:szCs w:val="22"/>
        </w:rPr>
        <w:t xml:space="preserve"> collaborating closely with faculty, department leads, </w:t>
      </w:r>
      <w:r w:rsidR="003449E5">
        <w:rPr>
          <w:rFonts w:asciiTheme="majorHAnsi" w:hAnsiTheme="majorHAnsi" w:cstheme="majorHAnsi"/>
          <w:sz w:val="22"/>
          <w:szCs w:val="22"/>
        </w:rPr>
        <w:t>eLearning Developers</w:t>
      </w:r>
      <w:r w:rsidRPr="00867586">
        <w:rPr>
          <w:rFonts w:asciiTheme="majorHAnsi" w:hAnsiTheme="majorHAnsi" w:cstheme="majorHAnsi"/>
          <w:sz w:val="22"/>
          <w:szCs w:val="22"/>
        </w:rPr>
        <w:t>, vendors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67586">
        <w:rPr>
          <w:rFonts w:asciiTheme="majorHAnsi" w:hAnsiTheme="majorHAnsi" w:cstheme="majorHAnsi"/>
          <w:sz w:val="22"/>
          <w:szCs w:val="22"/>
        </w:rPr>
        <w:t xml:space="preserve"> and publishers to ensure tasks are completed and deadlines </w:t>
      </w:r>
      <w:r w:rsidR="003449E5">
        <w:rPr>
          <w:rFonts w:asciiTheme="majorHAnsi" w:hAnsiTheme="majorHAnsi" w:cstheme="majorHAnsi"/>
          <w:sz w:val="22"/>
          <w:szCs w:val="22"/>
        </w:rPr>
        <w:t xml:space="preserve">are </w:t>
      </w:r>
      <w:r w:rsidRPr="00867586">
        <w:rPr>
          <w:rFonts w:asciiTheme="majorHAnsi" w:hAnsiTheme="majorHAnsi" w:cstheme="majorHAnsi"/>
          <w:sz w:val="22"/>
          <w:szCs w:val="22"/>
        </w:rPr>
        <w:t>met.</w:t>
      </w:r>
    </w:p>
    <w:p w14:paraId="0EC0022E" w14:textId="77777777" w:rsidR="00636BE1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Guides</w:t>
      </w:r>
      <w:r w:rsidRPr="00867586">
        <w:rPr>
          <w:rFonts w:asciiTheme="majorHAnsi" w:hAnsiTheme="majorHAnsi" w:cstheme="majorHAnsi"/>
          <w:sz w:val="22"/>
          <w:szCs w:val="22"/>
        </w:rPr>
        <w:t xml:space="preserve"> faculty through the roles and responsibilities of an online instructor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867586">
        <w:rPr>
          <w:rFonts w:asciiTheme="majorHAnsi" w:hAnsiTheme="majorHAnsi" w:cstheme="majorHAnsi"/>
          <w:sz w:val="22"/>
          <w:szCs w:val="22"/>
        </w:rPr>
        <w:t>nalyze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7586">
        <w:rPr>
          <w:rFonts w:asciiTheme="majorHAnsi" w:hAnsiTheme="majorHAnsi" w:cstheme="majorHAnsi"/>
          <w:sz w:val="22"/>
          <w:szCs w:val="22"/>
        </w:rPr>
        <w:t xml:space="preserve"> course data with the instructor to revise and improve student learning outcomes </w:t>
      </w:r>
      <w:r w:rsidR="003449E5">
        <w:rPr>
          <w:rFonts w:asciiTheme="majorHAnsi" w:hAnsiTheme="majorHAnsi" w:cstheme="majorHAnsi"/>
          <w:sz w:val="22"/>
          <w:szCs w:val="22"/>
        </w:rPr>
        <w:t xml:space="preserve">and objectives </w:t>
      </w:r>
      <w:r w:rsidRPr="00867586">
        <w:rPr>
          <w:rFonts w:asciiTheme="majorHAnsi" w:hAnsiTheme="majorHAnsi" w:cstheme="majorHAnsi"/>
          <w:sz w:val="22"/>
          <w:szCs w:val="22"/>
        </w:rPr>
        <w:t>in current and future course iterations.</w:t>
      </w:r>
    </w:p>
    <w:p w14:paraId="772045D2" w14:textId="77777777" w:rsidR="00636BE1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7586">
        <w:rPr>
          <w:rFonts w:asciiTheme="majorHAnsi" w:hAnsiTheme="majorHAnsi" w:cstheme="majorHAnsi"/>
          <w:sz w:val="22"/>
          <w:szCs w:val="22"/>
        </w:rPr>
        <w:t>Create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7586">
        <w:rPr>
          <w:rFonts w:asciiTheme="majorHAnsi" w:hAnsiTheme="majorHAnsi" w:cstheme="majorHAnsi"/>
          <w:sz w:val="22"/>
          <w:szCs w:val="22"/>
        </w:rPr>
        <w:t xml:space="preserve"> and facilitate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7586">
        <w:rPr>
          <w:rFonts w:asciiTheme="majorHAnsi" w:hAnsiTheme="majorHAnsi" w:cstheme="majorHAnsi"/>
          <w:sz w:val="22"/>
          <w:szCs w:val="22"/>
        </w:rPr>
        <w:t xml:space="preserve"> research-based professional development opportunities/programs for faculty, including individual consultation, online training materials, workshops, and seminars.</w:t>
      </w:r>
    </w:p>
    <w:p w14:paraId="2C238273" w14:textId="77777777" w:rsidR="00636BE1" w:rsidRPr="00867586" w:rsidRDefault="003449E5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eLearning Developers with</w:t>
      </w:r>
      <w:r w:rsidRPr="0086758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</w:t>
      </w:r>
      <w:r w:rsidR="00636BE1" w:rsidRPr="00867586">
        <w:rPr>
          <w:rFonts w:asciiTheme="majorHAnsi" w:hAnsiTheme="majorHAnsi" w:cstheme="majorHAnsi"/>
          <w:sz w:val="22"/>
          <w:szCs w:val="22"/>
        </w:rPr>
        <w:t>esign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 build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636BE1" w:rsidRPr="00867586">
        <w:rPr>
          <w:rFonts w:asciiTheme="majorHAnsi" w:hAnsiTheme="majorHAnsi" w:cstheme="majorHAnsi"/>
          <w:sz w:val="22"/>
          <w:szCs w:val="22"/>
        </w:rPr>
        <w:t>, and revis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 educational and departmental web sites</w:t>
      </w:r>
      <w:r w:rsidR="001A4B6F" w:rsidRPr="001A4B6F">
        <w:rPr>
          <w:rFonts w:asciiTheme="majorHAnsi" w:hAnsiTheme="majorHAnsi" w:cstheme="majorHAnsi"/>
          <w:sz w:val="22"/>
          <w:szCs w:val="22"/>
        </w:rPr>
        <w:t xml:space="preserve"> </w:t>
      </w:r>
      <w:r w:rsidR="001A4B6F">
        <w:rPr>
          <w:rFonts w:asciiTheme="majorHAnsi" w:hAnsiTheme="majorHAnsi" w:cstheme="majorHAnsi"/>
          <w:sz w:val="22"/>
          <w:szCs w:val="22"/>
        </w:rPr>
        <w:t>to meet instructional needs and initiatives</w:t>
      </w:r>
      <w:r w:rsidR="00636BE1" w:rsidRPr="0086758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95044AD" w14:textId="77777777" w:rsidR="006A06D3" w:rsidRPr="003D5A21" w:rsidRDefault="00636BE1" w:rsidP="003D5A2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7586">
        <w:rPr>
          <w:rFonts w:asciiTheme="majorHAnsi" w:hAnsiTheme="majorHAnsi" w:cstheme="majorHAnsi"/>
          <w:sz w:val="22"/>
          <w:szCs w:val="22"/>
        </w:rPr>
        <w:lastRenderedPageBreak/>
        <w:t>Researches emerging educational technologies and best practices to improve educational outcomes and support the University mission.</w:t>
      </w:r>
    </w:p>
    <w:p w14:paraId="476784F4" w14:textId="77777777" w:rsidR="008F5C30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6BE1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6BE1">
        <w:rPr>
          <w:rFonts w:asciiTheme="majorHAnsi" w:hAnsiTheme="majorHAnsi" w:cstheme="majorHAnsi"/>
          <w:sz w:val="22"/>
          <w:szCs w:val="22"/>
        </w:rPr>
        <w:t xml:space="preserve"> program curriculum, ensure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6BE1">
        <w:rPr>
          <w:rFonts w:asciiTheme="majorHAnsi" w:hAnsiTheme="majorHAnsi" w:cstheme="majorHAnsi"/>
          <w:sz w:val="22"/>
          <w:szCs w:val="22"/>
        </w:rPr>
        <w:t xml:space="preserve"> outcome consistency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36BE1">
        <w:rPr>
          <w:rFonts w:asciiTheme="majorHAnsi" w:hAnsiTheme="majorHAnsi" w:cstheme="majorHAnsi"/>
          <w:sz w:val="22"/>
          <w:szCs w:val="22"/>
        </w:rPr>
        <w:t xml:space="preserve"> and provide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6BE1">
        <w:rPr>
          <w:rFonts w:asciiTheme="majorHAnsi" w:hAnsiTheme="majorHAnsi" w:cstheme="majorHAnsi"/>
          <w:sz w:val="22"/>
          <w:szCs w:val="22"/>
        </w:rPr>
        <w:t xml:space="preserve"> recommendations for improved program alignment.</w:t>
      </w:r>
    </w:p>
    <w:p w14:paraId="696451E4" w14:textId="77777777" w:rsidR="00636BE1" w:rsidRPr="008F5C30" w:rsidRDefault="00636BE1" w:rsidP="00636B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6BE1">
        <w:rPr>
          <w:rFonts w:asciiTheme="majorHAnsi" w:hAnsiTheme="majorHAnsi" w:cstheme="majorHAnsi"/>
          <w:sz w:val="22"/>
          <w:szCs w:val="22"/>
        </w:rPr>
        <w:t>Recommend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6BE1">
        <w:rPr>
          <w:rFonts w:asciiTheme="majorHAnsi" w:hAnsiTheme="majorHAnsi" w:cstheme="majorHAnsi"/>
          <w:sz w:val="22"/>
          <w:szCs w:val="22"/>
        </w:rPr>
        <w:t>, create</w:t>
      </w:r>
      <w:r>
        <w:rPr>
          <w:rFonts w:asciiTheme="majorHAnsi" w:hAnsiTheme="majorHAnsi" w:cstheme="majorHAnsi"/>
          <w:sz w:val="22"/>
          <w:szCs w:val="22"/>
        </w:rPr>
        <w:t>s,</w:t>
      </w:r>
      <w:r w:rsidRPr="00636BE1">
        <w:rPr>
          <w:rFonts w:asciiTheme="majorHAnsi" w:hAnsiTheme="majorHAnsi" w:cstheme="majorHAnsi"/>
          <w:sz w:val="22"/>
          <w:szCs w:val="22"/>
        </w:rPr>
        <w:t xml:space="preserve"> and 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6BE1">
        <w:rPr>
          <w:rFonts w:asciiTheme="majorHAnsi" w:hAnsiTheme="majorHAnsi" w:cstheme="majorHAnsi"/>
          <w:sz w:val="22"/>
          <w:szCs w:val="22"/>
        </w:rPr>
        <w:t xml:space="preserve"> guidelines, standards, and policies for the design, programming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36BE1">
        <w:rPr>
          <w:rFonts w:asciiTheme="majorHAnsi" w:hAnsiTheme="majorHAnsi" w:cstheme="majorHAnsi"/>
          <w:sz w:val="22"/>
          <w:szCs w:val="22"/>
        </w:rPr>
        <w:t xml:space="preserve"> and documentation of instructional </w:t>
      </w:r>
      <w:r w:rsidR="001A4B6F">
        <w:rPr>
          <w:rFonts w:asciiTheme="majorHAnsi" w:hAnsiTheme="majorHAnsi" w:cstheme="majorHAnsi"/>
          <w:sz w:val="22"/>
          <w:szCs w:val="22"/>
        </w:rPr>
        <w:t xml:space="preserve">design </w:t>
      </w:r>
      <w:r w:rsidRPr="00636BE1">
        <w:rPr>
          <w:rFonts w:asciiTheme="majorHAnsi" w:hAnsiTheme="majorHAnsi" w:cstheme="majorHAnsi"/>
          <w:sz w:val="22"/>
          <w:szCs w:val="22"/>
        </w:rPr>
        <w:t>services.</w:t>
      </w:r>
    </w:p>
    <w:p w14:paraId="48A67C15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5F30CD1" w14:textId="77777777" w:rsidR="00504F55" w:rsidRPr="00A145E5" w:rsidRDefault="00D66D03" w:rsidP="00A145E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145E5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145E5">
        <w:rPr>
          <w:rFonts w:asciiTheme="majorHAnsi" w:hAnsiTheme="majorHAnsi" w:cstheme="majorHAnsi"/>
          <w:b/>
          <w:color w:val="002060"/>
        </w:rPr>
        <w:t>QUALIFICATIONS</w:t>
      </w:r>
    </w:p>
    <w:p w14:paraId="483F89F0" w14:textId="77777777" w:rsidR="00D66D03" w:rsidRDefault="006A06D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9B9820" w14:textId="77777777" w:rsidR="00501982" w:rsidRDefault="009B1370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Four </w:t>
      </w:r>
      <w:r w:rsidR="006A06D3">
        <w:rPr>
          <w:rFonts w:asciiTheme="majorHAnsi" w:hAnsiTheme="majorHAnsi" w:cstheme="majorHAnsi"/>
          <w:sz w:val="22"/>
          <w:szCs w:val="22"/>
        </w:rPr>
        <w:t>to five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27D899" w14:textId="77777777" w:rsidR="00504F55" w:rsidRPr="00A145E5" w:rsidRDefault="00504F55" w:rsidP="00A145E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145E5">
        <w:rPr>
          <w:rFonts w:asciiTheme="majorHAnsi" w:hAnsiTheme="majorHAnsi" w:cstheme="majorHAnsi"/>
          <w:b/>
          <w:color w:val="002060"/>
        </w:rPr>
        <w:t>COMPETENCIES</w:t>
      </w:r>
    </w:p>
    <w:p w14:paraId="57AD184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68A676B" w14:textId="77777777" w:rsidR="00504F55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A3479E">
        <w:rPr>
          <w:rFonts w:asciiTheme="majorHAnsi" w:hAnsiTheme="majorHAnsi" w:cstheme="majorHAnsi"/>
          <w:sz w:val="22"/>
          <w:szCs w:val="22"/>
        </w:rPr>
        <w:t>est practices in the design, development, implementation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3479E">
        <w:rPr>
          <w:rFonts w:asciiTheme="majorHAnsi" w:hAnsiTheme="majorHAnsi" w:cstheme="majorHAnsi"/>
          <w:sz w:val="22"/>
          <w:szCs w:val="22"/>
        </w:rPr>
        <w:t xml:space="preserve"> and evaluation of academic programs and full curriculum revision      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AE29BF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Pr="00A3479E">
        <w:rPr>
          <w:rFonts w:asciiTheme="majorHAnsi" w:hAnsiTheme="majorHAnsi" w:cstheme="majorHAnsi"/>
          <w:sz w:val="22"/>
          <w:szCs w:val="22"/>
        </w:rPr>
        <w:t>nstitutional policies, initiatives, and imperatives that impact or are impacted by the efforts of the unit</w:t>
      </w:r>
    </w:p>
    <w:p w14:paraId="02844EDF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867586">
        <w:rPr>
          <w:rFonts w:asciiTheme="majorHAnsi" w:hAnsiTheme="majorHAnsi" w:cstheme="majorHAnsi"/>
          <w:sz w:val="22"/>
          <w:szCs w:val="22"/>
        </w:rPr>
        <w:t>urrent research in teaching and learning specifically in relation to online and hybrid/blended education in higher education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D26341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867586">
        <w:rPr>
          <w:rFonts w:asciiTheme="majorHAnsi" w:hAnsiTheme="majorHAnsi" w:cstheme="majorHAnsi"/>
          <w:sz w:val="22"/>
          <w:szCs w:val="22"/>
        </w:rPr>
        <w:t>est practices in the design, development, implementation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67586">
        <w:rPr>
          <w:rFonts w:asciiTheme="majorHAnsi" w:hAnsiTheme="majorHAnsi" w:cstheme="majorHAnsi"/>
          <w:sz w:val="22"/>
          <w:szCs w:val="22"/>
        </w:rPr>
        <w:t xml:space="preserve"> and evaluation of learning environments</w:t>
      </w:r>
    </w:p>
    <w:p w14:paraId="2A368ED5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867586">
        <w:rPr>
          <w:rFonts w:asciiTheme="majorHAnsi" w:hAnsiTheme="majorHAnsi" w:cstheme="majorHAnsi"/>
          <w:sz w:val="22"/>
          <w:szCs w:val="22"/>
        </w:rPr>
        <w:t>esearch based standards related to the design and development of high quality courses</w:t>
      </w:r>
    </w:p>
    <w:p w14:paraId="0A12402C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867586">
        <w:rPr>
          <w:rFonts w:asciiTheme="majorHAnsi" w:hAnsiTheme="majorHAnsi" w:cstheme="majorHAnsi"/>
          <w:sz w:val="22"/>
          <w:szCs w:val="22"/>
        </w:rPr>
        <w:t>rinciples and methods for curriculum and training design, teaching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67586">
        <w:rPr>
          <w:rFonts w:asciiTheme="majorHAnsi" w:hAnsiTheme="majorHAnsi" w:cstheme="majorHAnsi"/>
          <w:sz w:val="22"/>
          <w:szCs w:val="22"/>
        </w:rPr>
        <w:t xml:space="preserve"> and instruction for individuals and groups, and the measurement of learning</w:t>
      </w:r>
    </w:p>
    <w:p w14:paraId="793493B3" w14:textId="77777777" w:rsidR="00A3479E" w:rsidRP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Pr="00867586">
        <w:rPr>
          <w:rFonts w:asciiTheme="majorHAnsi" w:hAnsiTheme="majorHAnsi" w:cstheme="majorHAnsi"/>
          <w:sz w:val="22"/>
          <w:szCs w:val="22"/>
        </w:rPr>
        <w:t>nstructional design models and theory based practice in higher education</w:t>
      </w:r>
    </w:p>
    <w:p w14:paraId="7113314F" w14:textId="77777777" w:rsidR="00737A19" w:rsidRPr="006707BA" w:rsidRDefault="006707BA" w:rsidP="006707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0857AA8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6349B49" w14:textId="77777777" w:rsidR="00D66D03" w:rsidRPr="00D66D03" w:rsidRDefault="006707BA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Leading working gro</w:t>
      </w:r>
      <w:r w:rsidR="00A3479E">
        <w:rPr>
          <w:rFonts w:asciiTheme="majorHAnsi" w:hAnsiTheme="majorHAnsi" w:cstheme="majorHAnsi"/>
          <w:sz w:val="22"/>
          <w:szCs w:val="22"/>
        </w:rPr>
        <w:t>ups and projects</w:t>
      </w:r>
    </w:p>
    <w:p w14:paraId="4B360E7E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3D6E2D8" w14:textId="77777777" w:rsidR="00E94387" w:rsidRDefault="00E94387" w:rsidP="00E943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</w:t>
      </w:r>
      <w:r w:rsidRPr="006B01C2">
        <w:rPr>
          <w:rFonts w:asciiTheme="majorHAnsi" w:hAnsiTheme="majorHAnsi" w:cstheme="majorHAnsi"/>
          <w:sz w:val="22"/>
          <w:szCs w:val="22"/>
        </w:rPr>
        <w:t>anag</w:t>
      </w:r>
      <w:r w:rsidR="00D14E46">
        <w:rPr>
          <w:rFonts w:asciiTheme="majorHAnsi" w:hAnsiTheme="majorHAnsi" w:cstheme="majorHAnsi"/>
          <w:sz w:val="22"/>
          <w:szCs w:val="22"/>
        </w:rPr>
        <w:t>ing</w:t>
      </w:r>
      <w:r w:rsidRPr="006B01C2">
        <w:rPr>
          <w:rFonts w:asciiTheme="majorHAnsi" w:hAnsiTheme="majorHAnsi" w:cstheme="majorHAnsi"/>
          <w:sz w:val="22"/>
          <w:szCs w:val="22"/>
        </w:rPr>
        <w:t xml:space="preserve"> multiple complex course design projects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B01C2">
        <w:rPr>
          <w:rFonts w:asciiTheme="majorHAnsi" w:hAnsiTheme="majorHAnsi" w:cstheme="majorHAnsi"/>
          <w:sz w:val="22"/>
          <w:szCs w:val="22"/>
        </w:rPr>
        <w:t xml:space="preserve"> including the development of timelines, project management, and client communication </w:t>
      </w:r>
    </w:p>
    <w:p w14:paraId="15C967F7" w14:textId="77777777" w:rsidR="00D14E46" w:rsidRDefault="00D14E46" w:rsidP="00D14E4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6B01C2">
        <w:rPr>
          <w:rFonts w:asciiTheme="majorHAnsi" w:hAnsiTheme="majorHAnsi" w:cstheme="majorHAnsi"/>
          <w:sz w:val="22"/>
          <w:szCs w:val="22"/>
        </w:rPr>
        <w:t>pply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6B01C2">
        <w:rPr>
          <w:rFonts w:asciiTheme="majorHAnsi" w:hAnsiTheme="majorHAnsi" w:cstheme="majorHAnsi"/>
          <w:sz w:val="22"/>
          <w:szCs w:val="22"/>
        </w:rPr>
        <w:t xml:space="preserve"> theoretical ideas and guiding principles of curriculum design to specific situations to identify the most appropriate solutions for a given educational challenge</w:t>
      </w:r>
    </w:p>
    <w:p w14:paraId="6AA62CFE" w14:textId="77777777" w:rsidR="00E94387" w:rsidRDefault="00E94387" w:rsidP="00E943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A3479E">
        <w:rPr>
          <w:rFonts w:asciiTheme="majorHAnsi" w:hAnsiTheme="majorHAnsi" w:cstheme="majorHAnsi"/>
          <w:sz w:val="22"/>
          <w:szCs w:val="22"/>
        </w:rPr>
        <w:t>ak</w:t>
      </w:r>
      <w:r w:rsidR="00D14E46">
        <w:rPr>
          <w:rFonts w:asciiTheme="majorHAnsi" w:hAnsiTheme="majorHAnsi" w:cstheme="majorHAnsi"/>
          <w:sz w:val="22"/>
          <w:szCs w:val="22"/>
        </w:rPr>
        <w:t>ing</w:t>
      </w:r>
      <w:r w:rsidRPr="00A3479E">
        <w:rPr>
          <w:rFonts w:asciiTheme="majorHAnsi" w:hAnsiTheme="majorHAnsi" w:cstheme="majorHAnsi"/>
          <w:sz w:val="22"/>
          <w:szCs w:val="22"/>
        </w:rPr>
        <w:t xml:space="preserve"> recommendations to faculty and clients about educational decisions based on an understanding of institutional policy, initiatives, and imperatives   </w:t>
      </w:r>
    </w:p>
    <w:p w14:paraId="04190A4F" w14:textId="77777777" w:rsidR="00504F55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3479E">
        <w:rPr>
          <w:rFonts w:asciiTheme="majorHAnsi" w:hAnsiTheme="majorHAnsi" w:cstheme="majorHAnsi"/>
          <w:sz w:val="22"/>
          <w:szCs w:val="22"/>
        </w:rPr>
        <w:t xml:space="preserve">Creating policy and procedure guides for unit wide use </w:t>
      </w:r>
    </w:p>
    <w:p w14:paraId="4FAD19BE" w14:textId="77777777" w:rsidR="00A3479E" w:rsidRDefault="00A3479E" w:rsidP="00A3479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 online course materials</w:t>
      </w:r>
    </w:p>
    <w:p w14:paraId="3EC16BD6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D52B4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8D42E9A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F0C85AA" w14:textId="77777777" w:rsidR="00E94387" w:rsidRPr="00A3479E" w:rsidRDefault="00E94387" w:rsidP="00E943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3479E">
        <w:rPr>
          <w:rFonts w:asciiTheme="majorHAnsi" w:hAnsiTheme="majorHAnsi" w:cstheme="majorHAnsi"/>
          <w:sz w:val="22"/>
          <w:szCs w:val="22"/>
        </w:rPr>
        <w:t>Negotiating with faculty when working on most complex design projects to ensure faculty, student, and institutional needs and expectations are balanced in a way that provides the most benefit to the most stakeholders</w:t>
      </w:r>
    </w:p>
    <w:p w14:paraId="2E709BAF" w14:textId="77777777" w:rsidR="00E94387" w:rsidRPr="00D66D03" w:rsidRDefault="00E94387" w:rsidP="00E943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11142A5" w14:textId="77777777" w:rsidR="00A3479E" w:rsidRPr="00A3479E" w:rsidRDefault="00A3479E" w:rsidP="00E943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3479E">
        <w:rPr>
          <w:rFonts w:asciiTheme="majorHAnsi" w:hAnsiTheme="majorHAnsi" w:cstheme="majorHAnsi"/>
          <w:sz w:val="22"/>
          <w:szCs w:val="22"/>
        </w:rPr>
        <w:t>Gather, record, curate, and organize information and data related to course design and development</w:t>
      </w:r>
    </w:p>
    <w:p w14:paraId="7E36850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C99B27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F6021C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25FC78A8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88B6" w14:textId="77777777" w:rsidR="000D16EA" w:rsidRDefault="000D16EA">
      <w:r>
        <w:separator/>
      </w:r>
    </w:p>
    <w:p w14:paraId="3E4061D1" w14:textId="77777777" w:rsidR="000D16EA" w:rsidRDefault="000D16EA"/>
  </w:endnote>
  <w:endnote w:type="continuationSeparator" w:id="0">
    <w:p w14:paraId="51A9A2E4" w14:textId="77777777" w:rsidR="000D16EA" w:rsidRDefault="000D16EA">
      <w:r>
        <w:continuationSeparator/>
      </w:r>
    </w:p>
    <w:p w14:paraId="73DAD42D" w14:textId="77777777" w:rsidR="000D16EA" w:rsidRDefault="000D1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A07E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6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7D04AC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74DF5" w14:textId="77777777" w:rsidR="00BE6227" w:rsidRDefault="0013189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82B2" w14:textId="77777777" w:rsidR="000D16EA" w:rsidRDefault="000D16E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1666614" w14:textId="77777777" w:rsidR="000D16EA" w:rsidRDefault="000D16EA">
      <w:r>
        <w:continuationSeparator/>
      </w:r>
    </w:p>
    <w:p w14:paraId="7066C1B6" w14:textId="77777777" w:rsidR="000D16EA" w:rsidRDefault="000D1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B799" w14:textId="77777777" w:rsidR="00C9354E" w:rsidRPr="00E1485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1485A">
      <w:rPr>
        <w:b/>
        <w:sz w:val="28"/>
        <w:szCs w:val="28"/>
        <w:u w:val="single"/>
      </w:rPr>
      <w:t xml:space="preserve">Job </w:t>
    </w:r>
    <w:r w:rsidR="00D66D03" w:rsidRPr="00E1485A">
      <w:rPr>
        <w:b/>
        <w:sz w:val="28"/>
        <w:szCs w:val="28"/>
        <w:u w:val="single"/>
      </w:rPr>
      <w:t>Template</w:t>
    </w:r>
    <w:r w:rsidR="00E1485A" w:rsidRPr="00E1485A">
      <w:rPr>
        <w:b/>
        <w:sz w:val="28"/>
        <w:szCs w:val="28"/>
        <w:u w:val="single"/>
      </w:rPr>
      <w:t>: Lead Instructional Developer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5F7C7F" w14:paraId="0C67B6D2" w14:textId="77777777" w:rsidTr="0013189D">
      <w:tc>
        <w:tcPr>
          <w:tcW w:w="2695" w:type="dxa"/>
        </w:tcPr>
        <w:p w14:paraId="54A4104B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3511F16D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5F7C7F" w14:paraId="385FEA95" w14:textId="77777777" w:rsidTr="0013189D">
      <w:tc>
        <w:tcPr>
          <w:tcW w:w="2695" w:type="dxa"/>
          <w:hideMark/>
        </w:tcPr>
        <w:p w14:paraId="01DD5010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22552B04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5F7C7F" w14:paraId="009C2009" w14:textId="77777777" w:rsidTr="0013189D">
      <w:tc>
        <w:tcPr>
          <w:tcW w:w="2695" w:type="dxa"/>
          <w:hideMark/>
        </w:tcPr>
        <w:p w14:paraId="52B73476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59648701" w14:textId="77777777" w:rsidR="005F7C7F" w:rsidRPr="009535C5" w:rsidRDefault="005F7C7F" w:rsidP="005F7C7F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Instructional Development</w:t>
          </w:r>
        </w:p>
      </w:tc>
    </w:tr>
    <w:tr w:rsidR="005F7C7F" w14:paraId="02B5377D" w14:textId="77777777" w:rsidTr="0013189D">
      <w:tc>
        <w:tcPr>
          <w:tcW w:w="2695" w:type="dxa"/>
          <w:hideMark/>
        </w:tcPr>
        <w:p w14:paraId="0085B79D" w14:textId="77777777" w:rsidR="005F7C7F" w:rsidRPr="001C3C6C" w:rsidRDefault="005F7C7F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24E1BA4F" w14:textId="77777777" w:rsidR="005F7C7F" w:rsidRPr="00A74A25" w:rsidRDefault="005F7C7F" w:rsidP="005F7C7F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Lead </w:t>
          </w:r>
          <w:r w:rsidRPr="00A74A25">
            <w:rPr>
              <w:rFonts w:ascii="Arial" w:hAnsi="Arial" w:cs="Arial"/>
              <w:b/>
            </w:rPr>
            <w:t>Instructional Developer</w:t>
          </w:r>
        </w:p>
      </w:tc>
    </w:tr>
    <w:tr w:rsidR="0013189D" w14:paraId="7C651046" w14:textId="77777777" w:rsidTr="0013189D">
      <w:tc>
        <w:tcPr>
          <w:tcW w:w="2695" w:type="dxa"/>
        </w:tcPr>
        <w:p w14:paraId="0BA6AC76" w14:textId="29418288" w:rsidR="0013189D" w:rsidRPr="001C3C6C" w:rsidRDefault="0013189D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1432D012" w14:textId="7EB42938" w:rsidR="0013189D" w:rsidRDefault="0013189D" w:rsidP="005F7C7F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13189D" w14:paraId="4B2BB9B8" w14:textId="77777777" w:rsidTr="0013189D">
      <w:tc>
        <w:tcPr>
          <w:tcW w:w="2695" w:type="dxa"/>
        </w:tcPr>
        <w:p w14:paraId="5DA5488D" w14:textId="4E1D95D1" w:rsidR="0013189D" w:rsidRPr="001C3C6C" w:rsidRDefault="0013189D" w:rsidP="005F7C7F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28DD41A2" w14:textId="6A1761E0" w:rsidR="0013189D" w:rsidRDefault="0013189D" w:rsidP="005F7C7F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A12001</w:t>
          </w:r>
        </w:p>
      </w:tc>
    </w:tr>
  </w:tbl>
  <w:p w14:paraId="01BCCAF1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16EA"/>
    <w:rsid w:val="000D7302"/>
    <w:rsid w:val="000E6257"/>
    <w:rsid w:val="000F13C0"/>
    <w:rsid w:val="000F1B15"/>
    <w:rsid w:val="0013189D"/>
    <w:rsid w:val="0014682C"/>
    <w:rsid w:val="00153E9C"/>
    <w:rsid w:val="00160549"/>
    <w:rsid w:val="00164061"/>
    <w:rsid w:val="001849A0"/>
    <w:rsid w:val="001A4B6F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A6577"/>
    <w:rsid w:val="002E5307"/>
    <w:rsid w:val="002E5D89"/>
    <w:rsid w:val="002F1631"/>
    <w:rsid w:val="002F45D4"/>
    <w:rsid w:val="002F62E5"/>
    <w:rsid w:val="003016A9"/>
    <w:rsid w:val="003178F9"/>
    <w:rsid w:val="00324BE8"/>
    <w:rsid w:val="003411E2"/>
    <w:rsid w:val="00341F04"/>
    <w:rsid w:val="003449E5"/>
    <w:rsid w:val="0035194B"/>
    <w:rsid w:val="003519AA"/>
    <w:rsid w:val="00365C2E"/>
    <w:rsid w:val="003703B1"/>
    <w:rsid w:val="00374725"/>
    <w:rsid w:val="00382F20"/>
    <w:rsid w:val="00386823"/>
    <w:rsid w:val="003A3B7F"/>
    <w:rsid w:val="003B1AE2"/>
    <w:rsid w:val="003B2DB1"/>
    <w:rsid w:val="003C62E3"/>
    <w:rsid w:val="003D5A21"/>
    <w:rsid w:val="003E7E04"/>
    <w:rsid w:val="003F581B"/>
    <w:rsid w:val="00400304"/>
    <w:rsid w:val="00402FF1"/>
    <w:rsid w:val="004073EC"/>
    <w:rsid w:val="0041441B"/>
    <w:rsid w:val="00421837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B0901"/>
    <w:rsid w:val="005D6C65"/>
    <w:rsid w:val="005E1C9F"/>
    <w:rsid w:val="005E6023"/>
    <w:rsid w:val="005F7C7F"/>
    <w:rsid w:val="00611264"/>
    <w:rsid w:val="00615EF8"/>
    <w:rsid w:val="0063071E"/>
    <w:rsid w:val="00636BE1"/>
    <w:rsid w:val="00647062"/>
    <w:rsid w:val="0065248B"/>
    <w:rsid w:val="0065411D"/>
    <w:rsid w:val="0066089C"/>
    <w:rsid w:val="006707BA"/>
    <w:rsid w:val="006768B4"/>
    <w:rsid w:val="00682227"/>
    <w:rsid w:val="00687D8C"/>
    <w:rsid w:val="006A06D3"/>
    <w:rsid w:val="006B09D9"/>
    <w:rsid w:val="006D3007"/>
    <w:rsid w:val="006D763E"/>
    <w:rsid w:val="006F1619"/>
    <w:rsid w:val="006F5261"/>
    <w:rsid w:val="0070120A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32110"/>
    <w:rsid w:val="00842D8E"/>
    <w:rsid w:val="00844E70"/>
    <w:rsid w:val="0085153B"/>
    <w:rsid w:val="0087685E"/>
    <w:rsid w:val="00882063"/>
    <w:rsid w:val="00882FC6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1370"/>
    <w:rsid w:val="009B2FD8"/>
    <w:rsid w:val="009E72F4"/>
    <w:rsid w:val="009F3D04"/>
    <w:rsid w:val="00A018A2"/>
    <w:rsid w:val="00A145E5"/>
    <w:rsid w:val="00A3479E"/>
    <w:rsid w:val="00A34E75"/>
    <w:rsid w:val="00A80A77"/>
    <w:rsid w:val="00A85A1E"/>
    <w:rsid w:val="00AA797A"/>
    <w:rsid w:val="00AB5402"/>
    <w:rsid w:val="00AC5406"/>
    <w:rsid w:val="00AE3C69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212A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14E46"/>
    <w:rsid w:val="00D15817"/>
    <w:rsid w:val="00D32E57"/>
    <w:rsid w:val="00D405A0"/>
    <w:rsid w:val="00D506BF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1485A"/>
    <w:rsid w:val="00E36105"/>
    <w:rsid w:val="00E62B34"/>
    <w:rsid w:val="00E62B60"/>
    <w:rsid w:val="00E90D01"/>
    <w:rsid w:val="00E94387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09F5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4BA16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3249-FCB0-4052-BC5C-AC398E8B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5</cp:revision>
  <cp:lastPrinted>2017-11-08T18:33:00Z</cp:lastPrinted>
  <dcterms:created xsi:type="dcterms:W3CDTF">2020-05-12T18:30:00Z</dcterms:created>
  <dcterms:modified xsi:type="dcterms:W3CDTF">2020-08-28T16:21:00Z</dcterms:modified>
</cp:coreProperties>
</file>