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922" w:rsidRPr="004A6922" w:rsidRDefault="004A6922" w:rsidP="004A6922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4A6922">
        <w:rPr>
          <w:rFonts w:cs="Arial"/>
          <w:b/>
          <w:sz w:val="28"/>
          <w:szCs w:val="22"/>
        </w:rPr>
        <w:t>P2: Level Standards</w:t>
      </w:r>
    </w:p>
    <w:p w:rsidR="004A6922" w:rsidRPr="004A6922" w:rsidRDefault="004A6922" w:rsidP="004A6922">
      <w:pPr>
        <w:spacing w:line="276" w:lineRule="auto"/>
        <w:rPr>
          <w:rFonts w:cs="Arial"/>
          <w:sz w:val="22"/>
          <w:szCs w:val="22"/>
        </w:rPr>
      </w:pPr>
    </w:p>
    <w:p w:rsidR="004A6922" w:rsidRPr="004A6922" w:rsidRDefault="004A6922" w:rsidP="004A692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A6922">
        <w:rPr>
          <w:rFonts w:cs="Arial"/>
          <w:b/>
          <w:sz w:val="24"/>
          <w:szCs w:val="22"/>
        </w:rPr>
        <w:t>GENERAL ROLE</w:t>
      </w:r>
    </w:p>
    <w:p w:rsidR="004A6922" w:rsidRPr="004A6922" w:rsidRDefault="004A6922" w:rsidP="004A6922">
      <w:pPr>
        <w:spacing w:after="200" w:line="276" w:lineRule="auto"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</w:t>
      </w:r>
    </w:p>
    <w:p w:rsidR="004A6922" w:rsidRPr="004A6922" w:rsidRDefault="004A6922" w:rsidP="004A6922">
      <w:pPr>
        <w:spacing w:after="200" w:line="276" w:lineRule="auto"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Incumbents:</w:t>
      </w:r>
    </w:p>
    <w:p w:rsidR="004A6922" w:rsidRPr="004A6922" w:rsidRDefault="004A6922" w:rsidP="004A692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:rsidR="004A6922" w:rsidRPr="004A6922" w:rsidRDefault="004A6922" w:rsidP="004A692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Tend to have assignments that are reoccurring and work outputs generally are delivered in a prescribed form/format.</w:t>
      </w:r>
    </w:p>
    <w:p w:rsidR="004A6922" w:rsidRPr="004A6922" w:rsidRDefault="004A6922" w:rsidP="004A692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Alter the order in which work or a procedure is performed to improve efficiency and effectiveness.</w:t>
      </w:r>
    </w:p>
    <w:p w:rsidR="004A6922" w:rsidRPr="004A6922" w:rsidRDefault="004A6922" w:rsidP="004A6922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May recommend or implement modifications to practices and procedures to improve efficiency and quality, directly affecting the specific office operation or departmental procedure or practice.</w:t>
      </w:r>
    </w:p>
    <w:p w:rsidR="004A6922" w:rsidRPr="004A6922" w:rsidRDefault="004A6922" w:rsidP="004A6922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:rsidR="004A6922" w:rsidRPr="004A6922" w:rsidRDefault="004A6922" w:rsidP="004A692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A6922">
        <w:rPr>
          <w:rFonts w:cs="Arial"/>
          <w:b/>
          <w:sz w:val="24"/>
          <w:szCs w:val="22"/>
        </w:rPr>
        <w:t>INDEPENDENCE AND DECISION-MAKING</w:t>
      </w:r>
    </w:p>
    <w:p w:rsidR="004A6922" w:rsidRPr="004A6922" w:rsidRDefault="004A6922" w:rsidP="004A6922">
      <w:pPr>
        <w:spacing w:line="276" w:lineRule="auto"/>
        <w:ind w:left="720"/>
        <w:rPr>
          <w:rFonts w:cs="Arial"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Supervision Receive</w:t>
      </w:r>
      <w:r w:rsidRPr="004A6922">
        <w:rPr>
          <w:rFonts w:cs="Arial"/>
          <w:sz w:val="22"/>
          <w:szCs w:val="22"/>
        </w:rPr>
        <w:t>d</w:t>
      </w:r>
    </w:p>
    <w:p w:rsidR="004A6922" w:rsidRPr="004A6922" w:rsidRDefault="004A6922" w:rsidP="004A692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Works under general supervision.</w:t>
      </w:r>
    </w:p>
    <w:p w:rsidR="004A6922" w:rsidRDefault="004A6922" w:rsidP="004A6922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Periodic checks on accuracy, quality, and timeliness of outcomes.</w:t>
      </w:r>
    </w:p>
    <w:p w:rsidR="000F58DF" w:rsidRPr="004A6922" w:rsidRDefault="000F58DF" w:rsidP="000F58DF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4A6922" w:rsidRPr="004A6922" w:rsidRDefault="004A6922" w:rsidP="004A692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Context of Decisions</w:t>
      </w:r>
    </w:p>
    <w:p w:rsidR="004A6922" w:rsidRDefault="004A6922" w:rsidP="004A6922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Independently develops how work is to be done based on precedent, practice, and existing policy at the unit/office levels.</w:t>
      </w:r>
    </w:p>
    <w:p w:rsidR="000F58DF" w:rsidRPr="004A6922" w:rsidRDefault="000F58DF" w:rsidP="000F58DF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4A6922" w:rsidRPr="004A6922" w:rsidRDefault="004A6922" w:rsidP="004A692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Job Controls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Possess the latitude to adjust the work processes or methods to effectively and efficiently manage their work assignments.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Guided by general procedures and professional norms.</w:t>
      </w:r>
    </w:p>
    <w:p w:rsidR="004A6922" w:rsidRDefault="004A6922" w:rsidP="004A692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0F58DF" w:rsidRDefault="000F58DF" w:rsidP="004A692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0F58DF" w:rsidRPr="004A6922" w:rsidRDefault="000F58DF" w:rsidP="004A6922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4A6922" w:rsidRPr="004A6922" w:rsidRDefault="004A6922" w:rsidP="004A692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A6922">
        <w:rPr>
          <w:rFonts w:cs="Arial"/>
          <w:b/>
          <w:sz w:val="24"/>
          <w:szCs w:val="22"/>
        </w:rPr>
        <w:t>COMPLEXITY AND PROBLEM SOLVING</w:t>
      </w:r>
    </w:p>
    <w:p w:rsidR="004A6922" w:rsidRPr="004A6922" w:rsidRDefault="004A6922" w:rsidP="004A692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Range of issues</w:t>
      </w:r>
    </w:p>
    <w:p w:rsid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Problems tend to be modestly technical or operational.</w:t>
      </w:r>
    </w:p>
    <w:p w:rsidR="004A6922" w:rsidRPr="004A6922" w:rsidRDefault="004A6922" w:rsidP="000F58DF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:rsidR="004A6922" w:rsidRPr="004A6922" w:rsidRDefault="004A6922" w:rsidP="004A692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Course of Resolution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Performs comparisons, verifications, reconciliations, compilations, etc. and such of data, program or student services/practices, or operational/staff output.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Understands the end product/outcome and where to send and receive information and materials to fulfill the assigned responsibilities.</w:t>
      </w:r>
    </w:p>
    <w:p w:rsidR="004A6922" w:rsidRPr="004A6922" w:rsidRDefault="004A6922" w:rsidP="004A6922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Measure of Creativity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Once problems are identified, solutions generally can be resolved using conventional or standard procedures.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Most of the obstacles, issues, or concerns can be handled with established practice and policy.</w:t>
      </w:r>
    </w:p>
    <w:p w:rsidR="004A6922" w:rsidRPr="004A6922" w:rsidRDefault="004A6922" w:rsidP="004A6922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4A6922">
        <w:rPr>
          <w:rFonts w:cs="Arial"/>
          <w:b/>
          <w:sz w:val="24"/>
          <w:szCs w:val="22"/>
        </w:rPr>
        <w:t>COMMUNICATION EXPECTATIONS</w:t>
      </w:r>
    </w:p>
    <w:p w:rsidR="004A6922" w:rsidRPr="004A6922" w:rsidRDefault="004A6922" w:rsidP="004A6922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4A6922">
        <w:rPr>
          <w:rFonts w:cs="Arial"/>
          <w:i/>
          <w:sz w:val="22"/>
          <w:szCs w:val="22"/>
        </w:rPr>
        <w:sym w:font="Wingdings" w:char="F0E0"/>
      </w:r>
      <w:r w:rsidRPr="004A6922">
        <w:rPr>
          <w:rFonts w:cs="Arial"/>
          <w:i/>
          <w:sz w:val="22"/>
          <w:szCs w:val="22"/>
        </w:rPr>
        <w:t xml:space="preserve"> Manner of Delivery and Content</w:t>
      </w:r>
    </w:p>
    <w:p w:rsidR="004A6922" w:rsidRPr="004A6922" w:rsidRDefault="004A6922" w:rsidP="004A6922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Regularly provides information on finished materials to others.</w:t>
      </w:r>
    </w:p>
    <w:p w:rsidR="004A6922" w:rsidRPr="004A6922" w:rsidRDefault="004A6922" w:rsidP="004A6922">
      <w:pPr>
        <w:spacing w:line="276" w:lineRule="auto"/>
        <w:ind w:left="1800"/>
        <w:rPr>
          <w:rFonts w:cs="Arial"/>
          <w:sz w:val="22"/>
          <w:szCs w:val="22"/>
        </w:rPr>
      </w:pPr>
    </w:p>
    <w:p w:rsidR="004A6922" w:rsidRPr="004A6922" w:rsidRDefault="004A6922" w:rsidP="004A6922">
      <w:pPr>
        <w:shd w:val="clear" w:color="auto" w:fill="D5DCE4"/>
        <w:spacing w:after="200" w:line="276" w:lineRule="auto"/>
        <w:rPr>
          <w:rFonts w:cs="Arial"/>
          <w:b/>
          <w:sz w:val="22"/>
          <w:szCs w:val="22"/>
        </w:rPr>
      </w:pPr>
      <w:r w:rsidRPr="004A6922">
        <w:rPr>
          <w:rFonts w:cs="Arial"/>
          <w:b/>
          <w:sz w:val="24"/>
          <w:szCs w:val="22"/>
        </w:rPr>
        <w:t>SCOPE AND MEASURABLE EFFECT</w:t>
      </w:r>
    </w:p>
    <w:p w:rsidR="004A6922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Actions typically affect an individual, item, event, or incident, etc.</w:t>
      </w:r>
    </w:p>
    <w:p w:rsid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:rsidR="00E63083" w:rsidRPr="004A6922" w:rsidRDefault="004A6922" w:rsidP="004A6922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4A6922">
        <w:rPr>
          <w:rFonts w:cs="Arial"/>
          <w:sz w:val="22"/>
          <w:szCs w:val="22"/>
        </w:rPr>
        <w:t>Incumbents indirectly promote the general welfare of students, faculty and staff, and safeguard the institution by playing an important role within a process.</w:t>
      </w:r>
      <w:r w:rsidR="00E63083" w:rsidRPr="004A6922">
        <w:rPr>
          <w:rFonts w:asciiTheme="majorHAnsi" w:hAnsiTheme="majorHAnsi" w:cstheme="majorHAnsi"/>
          <w:b/>
          <w:color w:val="0070C0"/>
        </w:rPr>
        <w:br w:type="page"/>
      </w:r>
    </w:p>
    <w:p w:rsidR="00E63083" w:rsidRPr="00464A9B" w:rsidRDefault="00E63083" w:rsidP="00E63083">
      <w:pPr>
        <w:shd w:val="clear" w:color="auto" w:fill="002060"/>
        <w:rPr>
          <w:rFonts w:cs="Arial"/>
          <w:b/>
          <w:sz w:val="28"/>
        </w:rPr>
      </w:pPr>
      <w:r>
        <w:rPr>
          <w:rFonts w:cs="Arial"/>
          <w:b/>
          <w:sz w:val="28"/>
        </w:rPr>
        <w:lastRenderedPageBreak/>
        <w:t>Job Template</w:t>
      </w:r>
    </w:p>
    <w:p w:rsidR="00E63083" w:rsidRDefault="00E63083" w:rsidP="00E6308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:rsidR="00504F55" w:rsidRPr="00E63083" w:rsidRDefault="00504F55" w:rsidP="00E6308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63083">
        <w:rPr>
          <w:rFonts w:asciiTheme="majorHAnsi" w:hAnsiTheme="majorHAnsi" w:cstheme="majorHAnsi"/>
          <w:b/>
          <w:color w:val="002060"/>
        </w:rPr>
        <w:t>GENERAL SUMMARY</w:t>
      </w:r>
    </w:p>
    <w:p w:rsidR="00504F55" w:rsidRPr="00D66D03" w:rsidRDefault="007A2B33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7A2B33">
        <w:rPr>
          <w:rFonts w:asciiTheme="majorHAnsi" w:hAnsiTheme="majorHAnsi" w:cstheme="majorHAnsi"/>
          <w:sz w:val="22"/>
          <w:szCs w:val="22"/>
        </w:rPr>
        <w:t xml:space="preserve">Performs office </w:t>
      </w:r>
      <w:r w:rsidR="00D32FE9">
        <w:rPr>
          <w:rFonts w:asciiTheme="majorHAnsi" w:hAnsiTheme="majorHAnsi" w:cstheme="majorHAnsi"/>
          <w:sz w:val="22"/>
          <w:szCs w:val="22"/>
        </w:rPr>
        <w:t>coordination</w:t>
      </w:r>
      <w:r w:rsidRPr="007A2B33">
        <w:rPr>
          <w:rFonts w:asciiTheme="majorHAnsi" w:hAnsiTheme="majorHAnsi" w:cstheme="majorHAnsi"/>
          <w:sz w:val="22"/>
          <w:szCs w:val="22"/>
        </w:rPr>
        <w:t xml:space="preserve"> duties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1B33D2">
        <w:rPr>
          <w:rFonts w:asciiTheme="majorHAnsi" w:hAnsiTheme="majorHAnsi" w:cstheme="majorHAnsi"/>
          <w:sz w:val="22"/>
          <w:szCs w:val="22"/>
        </w:rPr>
        <w:t>Facilitates</w:t>
      </w:r>
      <w:r w:rsidRPr="007A2B33">
        <w:rPr>
          <w:rFonts w:asciiTheme="majorHAnsi" w:hAnsiTheme="majorHAnsi" w:cstheme="majorHAnsi"/>
          <w:sz w:val="22"/>
          <w:szCs w:val="22"/>
        </w:rPr>
        <w:t xml:space="preserve"> workflow and the processing of administrative paperwork for </w:t>
      </w:r>
      <w:r w:rsidR="001B33D2">
        <w:rPr>
          <w:rFonts w:asciiTheme="majorHAnsi" w:hAnsiTheme="majorHAnsi" w:cstheme="majorHAnsi"/>
          <w:sz w:val="22"/>
          <w:szCs w:val="22"/>
        </w:rPr>
        <w:t xml:space="preserve">a designated </w:t>
      </w:r>
      <w:r w:rsidR="00BB1233">
        <w:rPr>
          <w:rFonts w:asciiTheme="majorHAnsi" w:hAnsiTheme="majorHAnsi" w:cstheme="majorHAnsi"/>
          <w:sz w:val="22"/>
          <w:szCs w:val="22"/>
        </w:rPr>
        <w:t>department</w:t>
      </w:r>
      <w:r w:rsidRPr="007A2B33">
        <w:rPr>
          <w:rFonts w:asciiTheme="majorHAnsi" w:hAnsiTheme="majorHAnsi" w:cstheme="majorHAnsi"/>
          <w:sz w:val="22"/>
          <w:szCs w:val="22"/>
        </w:rPr>
        <w:t xml:space="preserve">. </w:t>
      </w:r>
      <w:r w:rsidR="00FB6909" w:rsidRPr="00FB6909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E63083" w:rsidRDefault="00504F55" w:rsidP="00E630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63083">
        <w:rPr>
          <w:rFonts w:asciiTheme="majorHAnsi" w:hAnsiTheme="majorHAnsi" w:cstheme="majorHAnsi"/>
          <w:b/>
          <w:color w:val="002060"/>
        </w:rPr>
        <w:t>REPORTING RELATIONSHIPS AND TEAM WORK</w:t>
      </w:r>
    </w:p>
    <w:p w:rsidR="00504F55" w:rsidRPr="007A2B33" w:rsidRDefault="007A2B33" w:rsidP="007A2B33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7A2B33">
        <w:rPr>
          <w:rFonts w:asciiTheme="majorHAnsi" w:hAnsiTheme="majorHAnsi" w:cstheme="majorHAnsi"/>
          <w:sz w:val="22"/>
          <w:szCs w:val="22"/>
        </w:rPr>
        <w:t>Works under general supervision of a supervisor or manager.</w:t>
      </w:r>
    </w:p>
    <w:p w:rsidR="00504F55" w:rsidRPr="00E63083" w:rsidRDefault="00504F55" w:rsidP="00E630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3083">
        <w:rPr>
          <w:rFonts w:asciiTheme="majorHAnsi" w:hAnsiTheme="majorHAnsi" w:cstheme="majorHAnsi"/>
          <w:b/>
          <w:color w:val="002060"/>
        </w:rPr>
        <w:t>ESSENTIAL DUTIES &amp; RESPONSIBILITIES</w:t>
      </w:r>
    </w:p>
    <w:p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:rsidR="007A2B33" w:rsidRPr="007A2B33" w:rsidRDefault="007A2B33" w:rsidP="006E776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A2B33">
        <w:rPr>
          <w:rFonts w:asciiTheme="majorHAnsi" w:hAnsiTheme="majorHAnsi" w:cstheme="majorHAnsi"/>
          <w:sz w:val="22"/>
          <w:szCs w:val="22"/>
        </w:rPr>
        <w:t>Writes and/or edits and disseminates informational, promotional</w:t>
      </w:r>
      <w:r w:rsidR="006D6BFF">
        <w:rPr>
          <w:rFonts w:asciiTheme="majorHAnsi" w:hAnsiTheme="majorHAnsi" w:cstheme="majorHAnsi"/>
          <w:sz w:val="22"/>
          <w:szCs w:val="22"/>
        </w:rPr>
        <w:t>,</w:t>
      </w:r>
      <w:r w:rsidRPr="007A2B33">
        <w:rPr>
          <w:rFonts w:asciiTheme="majorHAnsi" w:hAnsiTheme="majorHAnsi" w:cstheme="majorHAnsi"/>
          <w:sz w:val="22"/>
          <w:szCs w:val="22"/>
        </w:rPr>
        <w:t xml:space="preserve"> and occasional technical materials to support program activities.</w:t>
      </w:r>
    </w:p>
    <w:p w:rsidR="008F5C30" w:rsidRPr="006D6BFF" w:rsidRDefault="007A2B33" w:rsidP="00650BC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6D6BFF">
        <w:rPr>
          <w:rFonts w:asciiTheme="majorHAnsi" w:hAnsiTheme="majorHAnsi" w:cstheme="majorHAnsi"/>
          <w:sz w:val="22"/>
          <w:szCs w:val="22"/>
        </w:rPr>
        <w:t>Serves as a resource to students, staff</w:t>
      </w:r>
      <w:r w:rsidR="0062612A">
        <w:rPr>
          <w:rFonts w:asciiTheme="majorHAnsi" w:hAnsiTheme="majorHAnsi" w:cstheme="majorHAnsi"/>
          <w:sz w:val="22"/>
          <w:szCs w:val="22"/>
        </w:rPr>
        <w:t>, faculty,</w:t>
      </w:r>
      <w:r w:rsidRPr="006D6BFF">
        <w:rPr>
          <w:rFonts w:asciiTheme="majorHAnsi" w:hAnsiTheme="majorHAnsi" w:cstheme="majorHAnsi"/>
          <w:sz w:val="22"/>
          <w:szCs w:val="22"/>
        </w:rPr>
        <w:t xml:space="preserve"> and others on matters relating to administrative procedures</w:t>
      </w:r>
      <w:r w:rsidR="006D6BFF" w:rsidRPr="006D6BFF">
        <w:rPr>
          <w:rFonts w:asciiTheme="majorHAnsi" w:hAnsiTheme="majorHAnsi" w:cstheme="majorHAnsi"/>
          <w:sz w:val="22"/>
          <w:szCs w:val="22"/>
        </w:rPr>
        <w:t xml:space="preserve"> </w:t>
      </w:r>
      <w:r w:rsidRPr="006D6BFF">
        <w:rPr>
          <w:rFonts w:asciiTheme="majorHAnsi" w:hAnsiTheme="majorHAnsi" w:cstheme="majorHAnsi"/>
          <w:sz w:val="22"/>
          <w:szCs w:val="22"/>
        </w:rPr>
        <w:t>and on some matters relating to program specialty.</w:t>
      </w:r>
    </w:p>
    <w:p w:rsidR="00FB6909" w:rsidRPr="00BB1233" w:rsidRDefault="00FB6909" w:rsidP="00431AE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Reviews records and data for accuracy, reconciles differences, and works with other staff and university offices to identify errors and make corrections.</w:t>
      </w:r>
    </w:p>
    <w:p w:rsidR="00FB6909" w:rsidRPr="00BB1233" w:rsidRDefault="00FB6909" w:rsidP="00FB690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Maintains schedules for managers, supervisors, and other personnel. Schedules conference and day-to-day travel</w:t>
      </w:r>
      <w:r w:rsidR="00BB1233" w:rsidRPr="00BB1233">
        <w:rPr>
          <w:rFonts w:asciiTheme="majorHAnsi" w:hAnsiTheme="majorHAnsi" w:cstheme="majorHAnsi"/>
          <w:sz w:val="22"/>
          <w:szCs w:val="22"/>
        </w:rPr>
        <w:t xml:space="preserve"> </w:t>
      </w:r>
      <w:r w:rsidRPr="00BB1233">
        <w:rPr>
          <w:rFonts w:asciiTheme="majorHAnsi" w:hAnsiTheme="majorHAnsi" w:cstheme="majorHAnsi"/>
          <w:sz w:val="22"/>
          <w:szCs w:val="22"/>
        </w:rPr>
        <w:t>the department and processes reimbursements.</w:t>
      </w:r>
    </w:p>
    <w:p w:rsidR="007A2B33" w:rsidRPr="00BB1233" w:rsidRDefault="007A2B33" w:rsidP="00F2499E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Maintains and monitors department/unit budget and records. Monitors and approves routine expenditures.</w:t>
      </w:r>
    </w:p>
    <w:p w:rsidR="00FB6909" w:rsidRPr="00BB1233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Compiles data and prepares statistical reports used to monitor or assess department activities, programs, and services or project future needs.</w:t>
      </w:r>
    </w:p>
    <w:p w:rsidR="007A2B33" w:rsidRPr="00BB1233" w:rsidRDefault="0062612A" w:rsidP="007A2B3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Assists in the maintenance and modification </w:t>
      </w:r>
      <w:r w:rsidR="007A2B33" w:rsidRPr="00BB1233">
        <w:rPr>
          <w:rFonts w:asciiTheme="majorHAnsi" w:hAnsiTheme="majorHAnsi" w:cstheme="majorHAnsi"/>
          <w:sz w:val="22"/>
          <w:szCs w:val="22"/>
        </w:rPr>
        <w:t>of complex filing and record keeping systems.</w:t>
      </w:r>
    </w:p>
    <w:p w:rsidR="00FB6909" w:rsidRPr="00BB1233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Monitors office supply inventory and coordinates maintenance for office equipment.</w:t>
      </w:r>
    </w:p>
    <w:p w:rsidR="00FB6909" w:rsidRPr="00BB1233" w:rsidRDefault="00FB6909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Maintains records and prepares necessary reports.</w:t>
      </w:r>
    </w:p>
    <w:p w:rsidR="00BB1233" w:rsidRPr="00BB1233" w:rsidRDefault="00BB1233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Maintains schedules for managers, supervisors, and other personnel. Schedules conference and day-to-day travel the department and processes reimbursements.</w:t>
      </w:r>
    </w:p>
    <w:p w:rsidR="00FB6909" w:rsidRPr="00FB6909" w:rsidRDefault="007A2B33" w:rsidP="001E05A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B1233">
        <w:rPr>
          <w:rFonts w:asciiTheme="majorHAnsi" w:hAnsiTheme="majorHAnsi" w:cstheme="majorHAnsi"/>
          <w:sz w:val="22"/>
          <w:szCs w:val="22"/>
        </w:rPr>
        <w:t>Stays abreast of changes to university policies and procedures and provides education</w:t>
      </w:r>
      <w:r>
        <w:rPr>
          <w:rFonts w:asciiTheme="majorHAnsi" w:hAnsiTheme="majorHAnsi" w:cstheme="majorHAnsi"/>
          <w:sz w:val="22"/>
          <w:szCs w:val="22"/>
        </w:rPr>
        <w:t xml:space="preserve"> and outreach in regards to policies. </w:t>
      </w:r>
    </w:p>
    <w:p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:rsidR="00504F55" w:rsidRPr="00E63083" w:rsidRDefault="00D66D03" w:rsidP="00E630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3083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E63083">
        <w:rPr>
          <w:rFonts w:asciiTheme="majorHAnsi" w:hAnsiTheme="majorHAnsi" w:cstheme="majorHAnsi"/>
          <w:b/>
          <w:color w:val="002060"/>
        </w:rPr>
        <w:t>QUALIFICATIONS</w:t>
      </w:r>
    </w:p>
    <w:p w:rsidR="00D66D03" w:rsidRDefault="007A2B33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1982" w:rsidRDefault="00D24C29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</w:t>
      </w:r>
      <w:r w:rsidR="00FB6909">
        <w:rPr>
          <w:rFonts w:asciiTheme="majorHAnsi" w:hAnsiTheme="majorHAnsi" w:cstheme="majorHAnsi"/>
          <w:sz w:val="22"/>
          <w:szCs w:val="22"/>
        </w:rPr>
        <w:t xml:space="preserve"> year</w:t>
      </w:r>
      <w:r>
        <w:rPr>
          <w:rFonts w:asciiTheme="majorHAnsi" w:hAnsiTheme="majorHAnsi" w:cstheme="majorHAnsi"/>
          <w:sz w:val="22"/>
          <w:szCs w:val="22"/>
        </w:rPr>
        <w:t>s</w:t>
      </w:r>
      <w:r w:rsidR="00FB6909">
        <w:rPr>
          <w:rFonts w:asciiTheme="majorHAnsi" w:hAnsiTheme="majorHAnsi" w:cstheme="majorHAnsi"/>
          <w:sz w:val="22"/>
          <w:szCs w:val="22"/>
        </w:rPr>
        <w:t xml:space="preserve">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57E45" w:rsidRPr="00B57E45" w:rsidRDefault="00B57E45" w:rsidP="00B57E45">
      <w:pPr>
        <w:pStyle w:val="BodyText"/>
        <w:rPr>
          <w:rFonts w:asciiTheme="majorHAnsi" w:hAnsiTheme="majorHAnsi" w:cstheme="majorHAnsi"/>
          <w:b/>
          <w:i/>
          <w:color w:val="0070C0"/>
          <w:sz w:val="22"/>
        </w:rPr>
      </w:pPr>
      <w:r>
        <w:rPr>
          <w:rFonts w:asciiTheme="majorHAnsi" w:hAnsiTheme="majorHAnsi" w:cstheme="majorHAnsi"/>
          <w:i/>
          <w:iCs/>
          <w:sz w:val="22"/>
        </w:rPr>
        <w:t xml:space="preserve">An equivalent combination of education and experience </w:t>
      </w:r>
      <w:r>
        <w:rPr>
          <w:rFonts w:asciiTheme="majorHAnsi" w:hAnsiTheme="majorHAnsi" w:cstheme="majorHAnsi"/>
          <w:i/>
          <w:sz w:val="22"/>
        </w:rPr>
        <w:t xml:space="preserve">may be substituted for the degree and years requirement. </w:t>
      </w:r>
      <w:bookmarkStart w:id="2" w:name="_GoBack"/>
      <w:bookmarkEnd w:id="2"/>
    </w:p>
    <w:p w:rsidR="00504F55" w:rsidRPr="00E63083" w:rsidRDefault="00504F55" w:rsidP="00E6308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3083">
        <w:rPr>
          <w:rFonts w:asciiTheme="majorHAnsi" w:hAnsiTheme="majorHAnsi" w:cstheme="majorHAnsi"/>
          <w:b/>
          <w:color w:val="002060"/>
        </w:rPr>
        <w:t>COMPETENCIES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Recordkeeping systems</w:t>
      </w:r>
    </w:p>
    <w:p w:rsidR="00FB6909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Computer programming methods</w:t>
      </w:r>
    </w:p>
    <w:p w:rsidR="00504F55" w:rsidRDefault="00FB690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organization and management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:rsidR="00ED58C4" w:rsidRDefault="00ED58C4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Basic accounting principles</w:t>
      </w:r>
    </w:p>
    <w:p w:rsidR="007A2B33" w:rsidRPr="00D66D03" w:rsidRDefault="007A2B3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University policies and procedures</w:t>
      </w:r>
    </w:p>
    <w:p w:rsidR="0062612A" w:rsidRDefault="0062612A" w:rsidP="0062612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Microsoft Office and related software applications </w:t>
      </w:r>
    </w:p>
    <w:p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:rsidR="00504F55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:rsidR="00D24C29" w:rsidRDefault="00D24C29" w:rsidP="00D24C2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Website maintenance</w:t>
      </w:r>
    </w:p>
    <w:p w:rsidR="004B0449" w:rsidRPr="00D66D03" w:rsidRDefault="004B0449" w:rsidP="00D24C2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Written and verbal communication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:rsidR="00504F55" w:rsidRPr="00D66D03" w:rsidRDefault="00FB6909" w:rsidP="00FB690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Pr="00FB6909">
        <w:rPr>
          <w:rFonts w:asciiTheme="majorHAnsi" w:hAnsiTheme="majorHAnsi" w:cstheme="majorHAnsi"/>
          <w:sz w:val="22"/>
          <w:szCs w:val="22"/>
        </w:rPr>
        <w:t>repare work for data processing and maintain working files and production records</w:t>
      </w:r>
    </w:p>
    <w:p w:rsidR="00D24C29" w:rsidRDefault="00D24C29" w:rsidP="00D24C2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Maintain records and prepare reports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:rsidR="00DB7AD1" w:rsidRPr="00D66D03" w:rsidRDefault="007A2B33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Perform multi-step processing, troubleshooting, and data reconciliation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0"/>
    <w:bookmarkEnd w:id="1"/>
    <w:p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default" r:id="rId8"/>
      <w:footerReference w:type="default" r:id="rId9"/>
      <w:footerReference w:type="first" r:id="rId10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24" w:rsidRDefault="00292524">
      <w:r>
        <w:separator/>
      </w:r>
    </w:p>
    <w:p w:rsidR="00292524" w:rsidRDefault="00292524"/>
  </w:endnote>
  <w:endnote w:type="continuationSeparator" w:id="0">
    <w:p w:rsidR="00292524" w:rsidRDefault="00292524">
      <w:r>
        <w:continuationSeparator/>
      </w:r>
    </w:p>
    <w:p w:rsidR="00292524" w:rsidRDefault="002925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88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1307D" w:rsidRDefault="0051307D" w:rsidP="001B33D2">
    <w:pPr>
      <w:pStyle w:val="Footer"/>
      <w:ind w:left="-44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227" w:rsidRDefault="00C22883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24" w:rsidRDefault="00292524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:rsidR="00292524" w:rsidRDefault="00292524">
      <w:r>
        <w:continuationSeparator/>
      </w:r>
    </w:p>
    <w:p w:rsidR="00292524" w:rsidRDefault="002925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54E" w:rsidRPr="000F58DF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0F58DF">
      <w:rPr>
        <w:b/>
        <w:sz w:val="28"/>
        <w:szCs w:val="28"/>
        <w:u w:val="single"/>
      </w:rPr>
      <w:t xml:space="preserve">Job </w:t>
    </w:r>
    <w:r w:rsidR="00D66D03" w:rsidRPr="000F58DF">
      <w:rPr>
        <w:b/>
        <w:sz w:val="28"/>
        <w:szCs w:val="28"/>
        <w:u w:val="single"/>
      </w:rPr>
      <w:t>Template</w:t>
    </w:r>
    <w:r w:rsidR="000F58DF" w:rsidRPr="000F58DF">
      <w:rPr>
        <w:b/>
        <w:sz w:val="28"/>
        <w:szCs w:val="28"/>
        <w:u w:val="single"/>
      </w:rPr>
      <w:t>: Administrative Program Support 2</w:t>
    </w:r>
  </w:p>
  <w:tbl>
    <w:tblPr>
      <w:tblW w:w="9824" w:type="dxa"/>
      <w:jc w:val="center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993"/>
      <w:gridCol w:w="357"/>
      <w:gridCol w:w="1620"/>
      <w:gridCol w:w="540"/>
      <w:gridCol w:w="1800"/>
      <w:gridCol w:w="630"/>
      <w:gridCol w:w="1530"/>
      <w:gridCol w:w="652"/>
    </w:tblGrid>
    <w:tr w:rsidR="004A6922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Services</w:t>
          </w:r>
        </w:p>
      </w:tc>
    </w:tr>
    <w:tr w:rsidR="004A6922" w:rsidTr="00391AB9">
      <w:trPr>
        <w:jc w:val="center"/>
      </w:trPr>
      <w:tc>
        <w:tcPr>
          <w:tcW w:w="2695" w:type="dxa"/>
          <w:gridSpan w:val="2"/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gridSpan w:val="7"/>
          <w:noWrap/>
          <w:tcMar>
            <w:top w:w="0" w:type="dxa"/>
            <w:left w:w="108" w:type="dxa"/>
            <w:bottom w:w="0" w:type="dxa"/>
            <w:right w:w="108" w:type="dxa"/>
          </w:tcMar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Programs/Services</w:t>
          </w:r>
        </w:p>
      </w:tc>
    </w:tr>
    <w:tr w:rsidR="004A6922" w:rsidTr="00391AB9">
      <w:trPr>
        <w:jc w:val="center"/>
      </w:trPr>
      <w:tc>
        <w:tcPr>
          <w:tcW w:w="2695" w:type="dxa"/>
          <w:gridSpan w:val="2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gridSpan w:val="7"/>
          <w:tcBorders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Administrative Program Professional</w:t>
          </w:r>
        </w:p>
      </w:tc>
    </w:tr>
    <w:tr w:rsidR="004A6922" w:rsidTr="00391AB9">
      <w:trPr>
        <w:jc w:val="center"/>
      </w:trPr>
      <w:tc>
        <w:tcPr>
          <w:tcW w:w="2695" w:type="dxa"/>
          <w:gridSpan w:val="2"/>
          <w:tcBorders>
            <w:top w:val="single" w:sz="18" w:space="0" w:color="000E2F"/>
            <w:left w:val="single" w:sz="18" w:space="0" w:color="000E2F"/>
            <w:bottom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Pr="009535C5" w:rsidRDefault="004A6922" w:rsidP="004A6922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gridSpan w:val="7"/>
          <w:tcBorders>
            <w:top w:val="single" w:sz="18" w:space="0" w:color="000E2F"/>
            <w:bottom w:val="single" w:sz="18" w:space="0" w:color="000E2F"/>
            <w:right w:val="single" w:sz="18" w:space="0" w:color="000E2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Pr="00C458DF" w:rsidRDefault="004A6922" w:rsidP="004A6922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 w:rsidRPr="00C458DF">
            <w:rPr>
              <w:rFonts w:ascii="Arial" w:hAnsi="Arial" w:cs="Arial"/>
              <w:b/>
            </w:rPr>
            <w:t>Administrative Program Support 2</w:t>
          </w:r>
        </w:p>
      </w:tc>
    </w:tr>
    <w:tr w:rsidR="004A6922" w:rsidTr="00391AB9">
      <w:trPr>
        <w:jc w:val="center"/>
      </w:trPr>
      <w:tc>
        <w:tcPr>
          <w:tcW w:w="170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Code</w:t>
          </w:r>
        </w:p>
      </w:tc>
      <w:tc>
        <w:tcPr>
          <w:tcW w:w="1350" w:type="dxa"/>
          <w:gridSpan w:val="2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B01001</w:t>
          </w:r>
        </w:p>
      </w:tc>
      <w:tc>
        <w:tcPr>
          <w:tcW w:w="162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>FLSA Status</w:t>
          </w:r>
        </w:p>
      </w:tc>
      <w:tc>
        <w:tcPr>
          <w:tcW w:w="540" w:type="dxa"/>
          <w:tcBorders>
            <w:top w:val="single" w:sz="18" w:space="0" w:color="000E2F"/>
            <w:bottom w:val="single" w:sz="4" w:space="0" w:color="7F7F7F"/>
          </w:tcBorders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E</w:t>
          </w:r>
        </w:p>
      </w:tc>
      <w:tc>
        <w:tcPr>
          <w:tcW w:w="180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</w:t>
          </w:r>
        </w:p>
      </w:tc>
      <w:tc>
        <w:tcPr>
          <w:tcW w:w="6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</w:t>
          </w:r>
        </w:p>
      </w:tc>
      <w:tc>
        <w:tcPr>
          <w:tcW w:w="1530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Level</w:t>
          </w:r>
        </w:p>
      </w:tc>
      <w:tc>
        <w:tcPr>
          <w:tcW w:w="652" w:type="dxa"/>
          <w:tcBorders>
            <w:top w:val="single" w:sz="18" w:space="0" w:color="000E2F"/>
            <w:bottom w:val="single" w:sz="4" w:space="0" w:color="7F7F7F"/>
          </w:tcBorders>
          <w:noWrap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A6922" w:rsidRDefault="004A6922" w:rsidP="004A6922">
          <w:pPr>
            <w:pStyle w:val="BodyText"/>
            <w:spacing w:before="60" w:after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2</w:t>
          </w:r>
        </w:p>
      </w:tc>
    </w:tr>
  </w:tbl>
  <w:p w:rsidR="00386823" w:rsidRPr="00386823" w:rsidRDefault="00386823" w:rsidP="002E5D89">
    <w:pPr>
      <w:pStyle w:val="Header"/>
      <w:jc w:val="cent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15"/>
  </w:num>
  <w:num w:numId="7">
    <w:abstractNumId w:val="7"/>
  </w:num>
  <w:num w:numId="8">
    <w:abstractNumId w:val="18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6"/>
  </w:num>
  <w:num w:numId="19">
    <w:abstractNumId w:val="14"/>
  </w:num>
  <w:num w:numId="20">
    <w:abstractNumId w:val="17"/>
  </w:num>
  <w:num w:numId="21">
    <w:abstractNumId w:val="12"/>
  </w:num>
  <w:num w:numId="22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0985"/>
    <w:rsid w:val="000B3A83"/>
    <w:rsid w:val="000B3BCC"/>
    <w:rsid w:val="000B4D70"/>
    <w:rsid w:val="000D7302"/>
    <w:rsid w:val="000E6257"/>
    <w:rsid w:val="000F13C0"/>
    <w:rsid w:val="000F1B15"/>
    <w:rsid w:val="000F58DF"/>
    <w:rsid w:val="00134AE1"/>
    <w:rsid w:val="00153E9C"/>
    <w:rsid w:val="00160549"/>
    <w:rsid w:val="00164061"/>
    <w:rsid w:val="00175D0A"/>
    <w:rsid w:val="001849A0"/>
    <w:rsid w:val="001B33D2"/>
    <w:rsid w:val="001D47B1"/>
    <w:rsid w:val="001E5041"/>
    <w:rsid w:val="00210BD6"/>
    <w:rsid w:val="002146FB"/>
    <w:rsid w:val="002230FF"/>
    <w:rsid w:val="00253931"/>
    <w:rsid w:val="0025394E"/>
    <w:rsid w:val="0025575B"/>
    <w:rsid w:val="00271F27"/>
    <w:rsid w:val="0027378E"/>
    <w:rsid w:val="00283BD2"/>
    <w:rsid w:val="002857A5"/>
    <w:rsid w:val="00292524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6922"/>
    <w:rsid w:val="004A7B76"/>
    <w:rsid w:val="004B0449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41E82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2612A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6BFF"/>
    <w:rsid w:val="006D763E"/>
    <w:rsid w:val="006F1619"/>
    <w:rsid w:val="006F49B3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2B33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E7C69"/>
    <w:rsid w:val="009F3D04"/>
    <w:rsid w:val="00A018A2"/>
    <w:rsid w:val="00A231D3"/>
    <w:rsid w:val="00A30D9D"/>
    <w:rsid w:val="00A34E75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57E45"/>
    <w:rsid w:val="00B63981"/>
    <w:rsid w:val="00B80A37"/>
    <w:rsid w:val="00BB1233"/>
    <w:rsid w:val="00BD5465"/>
    <w:rsid w:val="00BE20F7"/>
    <w:rsid w:val="00BF44C8"/>
    <w:rsid w:val="00BF5DB6"/>
    <w:rsid w:val="00C11537"/>
    <w:rsid w:val="00C22883"/>
    <w:rsid w:val="00C445A8"/>
    <w:rsid w:val="00C458DF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F5DA4"/>
    <w:rsid w:val="00D24C29"/>
    <w:rsid w:val="00D32E57"/>
    <w:rsid w:val="00D32FE9"/>
    <w:rsid w:val="00D405A0"/>
    <w:rsid w:val="00D421AF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3083"/>
    <w:rsid w:val="00E90D01"/>
    <w:rsid w:val="00EA4523"/>
    <w:rsid w:val="00ED32DC"/>
    <w:rsid w:val="00ED58C4"/>
    <w:rsid w:val="00EE1E1C"/>
    <w:rsid w:val="00EE6F6F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B6909"/>
    <w:rsid w:val="00FD615D"/>
    <w:rsid w:val="00FD7B2B"/>
    <w:rsid w:val="00FE0D7D"/>
    <w:rsid w:val="00FE544B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0B2A3E3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A6F8-52E0-463B-BDC6-D3BB6FC5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0</TotalTime>
  <Pages>4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2</cp:revision>
  <cp:lastPrinted>2017-11-08T18:33:00Z</cp:lastPrinted>
  <dcterms:created xsi:type="dcterms:W3CDTF">2020-05-11T17:48:00Z</dcterms:created>
  <dcterms:modified xsi:type="dcterms:W3CDTF">2020-05-11T17:48:00Z</dcterms:modified>
</cp:coreProperties>
</file>